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8EB79">
      <w:pPr>
        <w:ind w:left="-850" w:leftChars="-405" w:right="-907" w:rightChars="-432"/>
        <w:rPr>
          <w:rFonts w:ascii="Arial" w:hAnsi="Arial" w:cs="Arial"/>
          <w:szCs w:val="21"/>
        </w:rPr>
      </w:pPr>
      <w:r>
        <mc:AlternateContent>
          <mc:Choice Requires="wpg">
            <w:drawing>
              <wp:anchor distT="0" distB="0" distL="114300" distR="114300" simplePos="0" relativeHeight="251659264" behindDoc="0" locked="0" layoutInCell="1" allowOverlap="1">
                <wp:simplePos x="0" y="0"/>
                <wp:positionH relativeFrom="column">
                  <wp:posOffset>-962025</wp:posOffset>
                </wp:positionH>
                <wp:positionV relativeFrom="paragraph">
                  <wp:posOffset>54610</wp:posOffset>
                </wp:positionV>
                <wp:extent cx="7264400" cy="695960"/>
                <wp:effectExtent l="0" t="0" r="0" b="8890"/>
                <wp:wrapNone/>
                <wp:docPr id="16" name="组合 16"/>
                <wp:cNvGraphicFramePr/>
                <a:graphic xmlns:a="http://schemas.openxmlformats.org/drawingml/2006/main">
                  <a:graphicData uri="http://schemas.microsoft.com/office/word/2010/wordprocessingGroup">
                    <wpg:wgp>
                      <wpg:cNvGrpSpPr/>
                      <wpg:grpSpPr>
                        <a:xfrm>
                          <a:off x="0" y="0"/>
                          <a:ext cx="7264400" cy="695960"/>
                          <a:chOff x="2379" y="-85725"/>
                          <a:chExt cx="7264400" cy="695960"/>
                        </a:xfrm>
                      </wpg:grpSpPr>
                      <wps:wsp>
                        <wps:cNvPr id="14" name="文本框 2"/>
                        <wps:cNvSpPr txBox="1"/>
                        <wps:spPr bwMode="auto">
                          <a:xfrm>
                            <a:off x="2379" y="94006"/>
                            <a:ext cx="7264400" cy="405130"/>
                          </a:xfrm>
                          <a:prstGeom prst="rect">
                            <a:avLst/>
                          </a:prstGeom>
                          <a:ln>
                            <a:noFill/>
                          </a:ln>
                        </wps:spPr>
                        <wps:style>
                          <a:lnRef idx="1">
                            <a:schemeClr val="accent2"/>
                          </a:lnRef>
                          <a:fillRef idx="3">
                            <a:schemeClr val="accent2"/>
                          </a:fillRef>
                          <a:effectRef idx="2">
                            <a:schemeClr val="accent2"/>
                          </a:effectRef>
                          <a:fontRef idx="minor">
                            <a:schemeClr val="lt1"/>
                          </a:fontRef>
                        </wps:style>
                        <wps:txbx>
                          <w:txbxContent>
                            <w:p w14:paraId="59ECE941">
                              <w:pPr>
                                <w:rPr>
                                  <w:b/>
                                  <w:color w:val="E7E6E6" w:themeColor="background2"/>
                                  <w:spacing w:val="10"/>
                                  <w14:textFill>
                                    <w14:solidFill>
                                      <w14:schemeClr w14:val="bg2"/>
                                    </w14:solidFill>
                                  </w14:textFill>
                                </w:rPr>
                              </w:pPr>
                              <w:r>
                                <w:rPr>
                                  <w:rFonts w:ascii="Arial" w:hAnsi="Arial" w:cs="Arial"/>
                                  <w:b/>
                                  <w:color w:val="E7E6E6" w:themeColor="background2"/>
                                  <w:spacing w:val="10"/>
                                  <w:sz w:val="20"/>
                                  <w:szCs w:val="20"/>
                                  <w14:textFill>
                                    <w14:solidFill>
                                      <w14:schemeClr w14:val="bg2"/>
                                    </w14:solidFill>
                                  </w14:textFill>
                                </w:rPr>
                                <w:t>Original Research</w:t>
                              </w:r>
                            </w:p>
                          </w:txbxContent>
                        </wps:txbx>
                        <wps:bodyPr rot="0" vert="horz" wrap="square" lIns="91440" tIns="45720" rIns="91440" bIns="45720" anchor="t" anchorCtr="0">
                          <a:noAutofit/>
                        </wps:bodyPr>
                      </wps:wsp>
                      <pic:pic xmlns:pic="http://schemas.openxmlformats.org/drawingml/2006/picture">
                        <pic:nvPicPr>
                          <pic:cNvPr id="10" name="图片 1"/>
                          <pic:cNvPicPr/>
                        </pic:nvPicPr>
                        <pic:blipFill>
                          <a:blip r:embed="rId9" cstate="print"/>
                          <a:srcRect l="12503" t="25150" r="21168" b="25137"/>
                          <a:stretch>
                            <a:fillRect/>
                          </a:stretch>
                        </pic:blipFill>
                        <pic:spPr>
                          <a:xfrm>
                            <a:off x="5950424" y="-85725"/>
                            <a:ext cx="1316355" cy="695960"/>
                          </a:xfrm>
                          <a:prstGeom prst="rect">
                            <a:avLst/>
                          </a:prstGeom>
                          <a:noFill/>
                          <a:ln>
                            <a:noFill/>
                          </a:ln>
                        </pic:spPr>
                      </pic:pic>
                    </wpg:wgp>
                  </a:graphicData>
                </a:graphic>
              </wp:anchor>
            </w:drawing>
          </mc:Choice>
          <mc:Fallback>
            <w:pict>
              <v:group id="_x0000_s1026" o:spid="_x0000_s1026" o:spt="203" style="position:absolute;left:0pt;margin-left:-75.75pt;margin-top:4.3pt;height:54.8pt;width:572pt;z-index:251659264;mso-width-relative:page;mso-height-relative:page;" coordorigin="2379,-85725" coordsize="7264400,695960" o:gfxdata="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">
                <o:lock v:ext="edit" aspectratio="f"/>
                <v:shape id="文本框 2" o:spid="_x0000_s1026" o:spt="202" type="#_x0000_t202" style="position:absolute;left:2379;top:94006;height:405130;width:7264400;" fillcolor="#F18C55 [3280]" filled="t" stroked="f" coordsize="21600,21600" o:gfxdata="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gU1um5AAAA2wAA&#10;AA8AAAAAAAAAAQAgAAAAIgAAAGRycy9kb3ducmV2LnhtbFBLAQIUABQAAAAIAIdO4kAzLwWeOwAA&#10;ADkAAAAQAAAAAAAAAAEAIAAAAAgBAABkcnMvc2hhcGV4bWwueG1sUEsFBgAAAAAGAAYAWwEAALID&#10;AAAAAA==&#10;">
                  <v:fill type="gradient" on="t" color2="#E56B17 [3184]" colors="0f #F18C55;32768f #F67B28;65536f #E56B17" focus="100%" focussize="0,0" rotate="t">
                    <o:fill type="gradientUnscaled" v:ext="backwardCompatible"/>
                  </v:fill>
                  <v:stroke on="f" weight="0.5pt" miterlimit="8" joinstyle="miter"/>
                  <v:imagedata o:title=""/>
                  <o:lock v:ext="edit" aspectratio="f"/>
                  <v:textbox>
                    <w:txbxContent>
                      <w:p w14:paraId="59ECE941">
                        <w:pPr>
                          <w:rPr>
                            <w:b/>
                            <w:color w:val="E7E6E6" w:themeColor="background2"/>
                            <w:spacing w:val="10"/>
                            <w14:textFill>
                              <w14:solidFill>
                                <w14:schemeClr w14:val="bg2"/>
                              </w14:solidFill>
                            </w14:textFill>
                          </w:rPr>
                        </w:pPr>
                        <w:r>
                          <w:rPr>
                            <w:rFonts w:ascii="Arial" w:hAnsi="Arial" w:cs="Arial"/>
                            <w:b/>
                            <w:color w:val="E7E6E6" w:themeColor="background2"/>
                            <w:spacing w:val="10"/>
                            <w:sz w:val="20"/>
                            <w:szCs w:val="20"/>
                            <w14:textFill>
                              <w14:solidFill>
                                <w14:schemeClr w14:val="bg2"/>
                              </w14:solidFill>
                            </w14:textFill>
                          </w:rPr>
                          <w:t>Original Research</w:t>
                        </w:r>
                      </w:p>
                    </w:txbxContent>
                  </v:textbox>
                </v:shape>
                <v:shape id="图片 1" o:spid="_x0000_s1026" o:spt="75" type="#_x0000_t75" style="position:absolute;left:5950424;top:-85725;height:695960;width:1316355;" filled="f" o:preferrelative="t" stroked="f" coordsize="21600,21600" o:gfxdata="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fMs97sAAADb&#10;AAAADwAAAAAAAAABACAAAAAiAAAAZHJzL2Rvd25yZXYueG1sUEsBAhQAFAAAAAgAh07iQDMvBZ47&#10;AAAAOQAAABAAAAAAAAAAAQAgAAAACgEAAGRycy9zaGFwZXhtbC54bWxQSwUGAAAAAAYABgBbAQAA&#10;tAMAAAAA&#10;">
                  <v:fill on="f" focussize="0,0"/>
                  <v:stroke on="f"/>
                  <v:imagedata r:id="rId9" cropleft="8194f" croptop="16482f" cropright="13873f" cropbottom="16474f" o:title=""/>
                  <o:lock v:ext="edit" aspectratio="f"/>
                </v:shape>
              </v:group>
            </w:pict>
          </mc:Fallback>
        </mc:AlternateContent>
      </w:r>
    </w:p>
    <w:p w14:paraId="753E62F6">
      <w:pPr>
        <w:ind w:left="-850" w:leftChars="-405" w:right="-907" w:rightChars="-432"/>
        <w:rPr>
          <w:rFonts w:ascii="Arial" w:hAnsi="Arial" w:cs="Arial"/>
          <w:b/>
          <w:bCs/>
          <w:sz w:val="36"/>
          <w:szCs w:val="36"/>
        </w:rPr>
      </w:pPr>
    </w:p>
    <w:p w14:paraId="756767AF">
      <w:pPr>
        <w:spacing w:before="312" w:beforeLines="100" w:after="312" w:afterLines="100"/>
        <w:ind w:left="-897" w:leftChars="-427" w:right="-764" w:rightChars="-364"/>
        <w:rPr>
          <w:rFonts w:ascii="Arial" w:hAnsi="Arial" w:eastAsia="宋体"/>
          <w:b/>
          <w:sz w:val="36"/>
        </w:rPr>
      </w:pPr>
      <w:bookmarkStart w:id="0" w:name="_Hlk78983596"/>
      <w:r>
        <w:rPr>
          <w:rFonts w:hint="eastAsia" w:ascii="Arial" w:hAnsi="Arial" w:eastAsia="宋体"/>
          <w:b/>
          <w:sz w:val="36"/>
        </w:rPr>
        <w:t>Applications of MicroRNA in Acne Treatment: Mechanisms and Prospects</w:t>
      </w:r>
    </w:p>
    <w:bookmarkEnd w:id="0"/>
    <w:p w14:paraId="1B018935">
      <w:pPr>
        <w:spacing w:after="312" w:afterLines="100"/>
        <w:ind w:left="-897" w:leftChars="-427" w:right="-764" w:rightChars="-364"/>
        <w:rPr>
          <w:rFonts w:ascii="Arial" w:hAnsi="Arial" w:eastAsia="宋体" w:cs="Arial"/>
          <w:sz w:val="24"/>
          <w:szCs w:val="24"/>
        </w:rPr>
      </w:pPr>
      <w:bookmarkStart w:id="1" w:name="_Hlk78983566"/>
      <w:r>
        <w:rPr>
          <w:rFonts w:hint="eastAsia" w:ascii="Arial" w:hAnsi="Arial" w:eastAsia="宋体" w:cs="Arial"/>
          <w:sz w:val="24"/>
          <w:szCs w:val="24"/>
          <w:lang w:val="en-US" w:eastAsia="zh-CN"/>
        </w:rPr>
        <w:t>Hongchao</w:t>
      </w:r>
      <w:r>
        <w:rPr>
          <w:rFonts w:ascii="Arial" w:hAnsi="Arial" w:eastAsia="宋体" w:cs="Arial"/>
          <w:sz w:val="24"/>
          <w:szCs w:val="24"/>
        </w:rPr>
        <w:t xml:space="preserve"> </w:t>
      </w:r>
      <w:r>
        <w:rPr>
          <w:rFonts w:hint="eastAsia" w:ascii="Arial" w:hAnsi="Arial" w:eastAsia="宋体" w:cs="Arial"/>
          <w:sz w:val="24"/>
          <w:szCs w:val="24"/>
          <w:lang w:val="en-US" w:eastAsia="zh-CN"/>
        </w:rPr>
        <w:t>Zou</w:t>
      </w:r>
      <w:r>
        <w:rPr>
          <w:rFonts w:ascii="Arial" w:hAnsi="Arial" w:eastAsia="宋体" w:cs="Arial"/>
          <w:sz w:val="24"/>
          <w:szCs w:val="24"/>
          <w:vertAlign w:val="superscript"/>
        </w:rPr>
        <w:t xml:space="preserve"> 1</w:t>
      </w:r>
      <w:r>
        <w:rPr>
          <w:rFonts w:ascii="Arial" w:hAnsi="Arial" w:eastAsia="宋体" w:cs="Arial"/>
          <w:sz w:val="24"/>
          <w:szCs w:val="24"/>
        </w:rPr>
        <w:t xml:space="preserve">, </w:t>
      </w:r>
      <w:r>
        <w:rPr>
          <w:rFonts w:hint="eastAsia" w:ascii="Arial" w:hAnsi="Arial" w:eastAsia="宋体" w:cs="Arial"/>
          <w:sz w:val="24"/>
          <w:szCs w:val="24"/>
          <w:lang w:val="en-US" w:eastAsia="zh-CN"/>
        </w:rPr>
        <w:t>Wei</w:t>
      </w:r>
      <w:r>
        <w:rPr>
          <w:rFonts w:ascii="Arial" w:hAnsi="Arial" w:eastAsia="宋体" w:cs="Arial"/>
          <w:sz w:val="24"/>
          <w:szCs w:val="24"/>
        </w:rPr>
        <w:t xml:space="preserve"> Zh</w:t>
      </w:r>
      <w:r>
        <w:rPr>
          <w:rFonts w:hint="eastAsia" w:ascii="Arial" w:hAnsi="Arial" w:eastAsia="宋体" w:cs="Arial"/>
          <w:sz w:val="24"/>
          <w:szCs w:val="24"/>
          <w:lang w:val="en-US" w:eastAsia="zh-CN"/>
        </w:rPr>
        <w:t>u</w:t>
      </w:r>
      <w:r>
        <w:rPr>
          <w:rFonts w:ascii="Arial" w:hAnsi="Arial" w:eastAsia="宋体" w:cs="Arial"/>
          <w:sz w:val="24"/>
          <w:szCs w:val="24"/>
          <w:vertAlign w:val="superscript"/>
        </w:rPr>
        <w:t xml:space="preserve"> </w:t>
      </w:r>
      <w:r>
        <w:rPr>
          <w:rFonts w:hint="eastAsia" w:ascii="Arial" w:hAnsi="Arial" w:eastAsia="宋体" w:cs="Arial"/>
          <w:sz w:val="24"/>
          <w:szCs w:val="24"/>
          <w:vertAlign w:val="superscript"/>
          <w:lang w:val="en-US" w:eastAsia="zh-CN"/>
        </w:rPr>
        <w:t>1</w:t>
      </w:r>
      <w:r>
        <w:rPr>
          <w:rFonts w:ascii="Arial" w:hAnsi="Arial" w:eastAsia="宋体" w:cs="Arial"/>
          <w:sz w:val="24"/>
          <w:szCs w:val="24"/>
        </w:rPr>
        <w:t xml:space="preserve">, </w:t>
      </w:r>
      <w:r>
        <w:rPr>
          <w:rFonts w:hint="eastAsia" w:ascii="Arial" w:hAnsi="Arial" w:eastAsia="宋体" w:cs="Arial"/>
          <w:sz w:val="24"/>
          <w:szCs w:val="24"/>
          <w:lang w:val="en-US" w:eastAsia="zh-CN"/>
        </w:rPr>
        <w:t>Zhao</w:t>
      </w:r>
      <w:r>
        <w:rPr>
          <w:rFonts w:ascii="Arial" w:hAnsi="Arial" w:eastAsia="宋体" w:cs="Arial"/>
          <w:sz w:val="24"/>
          <w:szCs w:val="24"/>
        </w:rPr>
        <w:t xml:space="preserve"> </w:t>
      </w:r>
      <w:r>
        <w:rPr>
          <w:rFonts w:hint="eastAsia" w:ascii="Arial" w:hAnsi="Arial" w:eastAsia="宋体" w:cs="Arial"/>
          <w:sz w:val="24"/>
          <w:szCs w:val="24"/>
          <w:lang w:val="en-US" w:eastAsia="zh-CN"/>
        </w:rPr>
        <w:t>Zhang</w:t>
      </w:r>
      <w:r>
        <w:rPr>
          <w:rFonts w:ascii="Arial" w:hAnsi="Arial" w:eastAsia="宋体" w:cs="Arial"/>
          <w:sz w:val="24"/>
          <w:szCs w:val="24"/>
          <w:vertAlign w:val="superscript"/>
        </w:rPr>
        <w:t xml:space="preserve"> </w:t>
      </w:r>
      <w:bookmarkEnd w:id="1"/>
      <w:r>
        <w:rPr>
          <w:rFonts w:hint="eastAsia" w:ascii="Arial" w:hAnsi="Arial" w:eastAsia="宋体" w:cs="Arial"/>
          <w:sz w:val="24"/>
          <w:szCs w:val="24"/>
          <w:vertAlign w:val="superscript"/>
          <w:lang w:val="en-US" w:eastAsia="zh-CN"/>
        </w:rPr>
        <w:t>2</w:t>
      </w:r>
      <w:r>
        <w:rPr>
          <w:rFonts w:ascii="Arial" w:hAnsi="Arial" w:eastAsia="宋体" w:cs="Arial"/>
          <w:sz w:val="24"/>
          <w:szCs w:val="24"/>
        </w:rPr>
        <w:t xml:space="preserve">, </w:t>
      </w:r>
      <w:r>
        <w:rPr>
          <w:rFonts w:hint="eastAsia" w:ascii="Arial" w:hAnsi="Arial" w:eastAsia="宋体" w:cs="Arial"/>
          <w:sz w:val="24"/>
          <w:szCs w:val="24"/>
          <w:lang w:val="en-US" w:eastAsia="zh-CN"/>
        </w:rPr>
        <w:t>Longfeng</w:t>
      </w:r>
      <w:r>
        <w:rPr>
          <w:rFonts w:ascii="Arial" w:hAnsi="Arial" w:eastAsia="宋体" w:cs="Arial"/>
          <w:sz w:val="24"/>
          <w:szCs w:val="24"/>
        </w:rPr>
        <w:t xml:space="preserve"> </w:t>
      </w:r>
      <w:r>
        <w:rPr>
          <w:rFonts w:hint="eastAsia" w:ascii="Arial" w:hAnsi="Arial" w:eastAsia="宋体" w:cs="Arial"/>
          <w:sz w:val="24"/>
          <w:szCs w:val="24"/>
          <w:lang w:val="en-US" w:eastAsia="zh-CN"/>
        </w:rPr>
        <w:t>Tan</w:t>
      </w:r>
      <w:r>
        <w:rPr>
          <w:rFonts w:ascii="Arial" w:hAnsi="Arial" w:eastAsia="宋体" w:cs="Arial"/>
          <w:sz w:val="24"/>
          <w:szCs w:val="24"/>
          <w:vertAlign w:val="superscript"/>
        </w:rPr>
        <w:t xml:space="preserve"> </w:t>
      </w:r>
      <w:r>
        <w:rPr>
          <w:rFonts w:hint="eastAsia" w:ascii="Arial" w:hAnsi="Arial" w:eastAsia="宋体" w:cs="Arial"/>
          <w:sz w:val="24"/>
          <w:szCs w:val="24"/>
          <w:vertAlign w:val="superscript"/>
          <w:lang w:val="en-US" w:eastAsia="zh-CN"/>
        </w:rPr>
        <w:t>1</w:t>
      </w:r>
      <w:r>
        <w:rPr>
          <w:rFonts w:ascii="Arial" w:hAnsi="Arial" w:eastAsia="宋体" w:cs="Arial"/>
          <w:sz w:val="24"/>
          <w:szCs w:val="24"/>
        </w:rPr>
        <w:t xml:space="preserve">, </w:t>
      </w:r>
      <w:r>
        <w:rPr>
          <w:rFonts w:hint="eastAsia" w:ascii="Arial" w:hAnsi="Arial" w:eastAsia="宋体" w:cs="Arial"/>
          <w:sz w:val="24"/>
          <w:szCs w:val="24"/>
          <w:lang w:val="en-US" w:eastAsia="zh-CN"/>
        </w:rPr>
        <w:t>Ran</w:t>
      </w:r>
      <w:r>
        <w:rPr>
          <w:rFonts w:ascii="Arial" w:hAnsi="Arial" w:eastAsia="宋体" w:cs="Arial"/>
          <w:sz w:val="24"/>
          <w:szCs w:val="24"/>
        </w:rPr>
        <w:t xml:space="preserve"> </w:t>
      </w:r>
      <w:r>
        <w:rPr>
          <w:rFonts w:hint="eastAsia" w:ascii="Arial" w:hAnsi="Arial" w:eastAsia="宋体" w:cs="Arial"/>
          <w:sz w:val="24"/>
          <w:szCs w:val="24"/>
          <w:lang w:val="en-US" w:eastAsia="zh-CN"/>
        </w:rPr>
        <w:t>Shen</w:t>
      </w:r>
      <w:r>
        <w:rPr>
          <w:rFonts w:ascii="Arial" w:hAnsi="Arial" w:eastAsia="宋体" w:cs="Arial"/>
          <w:sz w:val="24"/>
          <w:szCs w:val="24"/>
          <w:vertAlign w:val="superscript"/>
        </w:rPr>
        <w:t xml:space="preserve"> </w:t>
      </w:r>
      <w:r>
        <w:rPr>
          <w:rFonts w:hint="eastAsia" w:ascii="Arial" w:hAnsi="Arial" w:eastAsia="宋体" w:cs="Arial"/>
          <w:sz w:val="24"/>
          <w:szCs w:val="24"/>
          <w:vertAlign w:val="superscript"/>
          <w:lang w:val="en-US" w:eastAsia="zh-CN"/>
        </w:rPr>
        <w:t>3</w:t>
      </w:r>
      <w:r>
        <w:rPr>
          <w:rFonts w:ascii="Arial" w:hAnsi="Arial" w:eastAsia="宋体" w:cs="Arial"/>
          <w:sz w:val="24"/>
          <w:szCs w:val="24"/>
        </w:rPr>
        <w:t>*</w:t>
      </w:r>
    </w:p>
    <w:p w14:paraId="24F967A2">
      <w:pPr>
        <w:spacing w:after="312" w:afterLines="100"/>
        <w:ind w:left="-897" w:leftChars="-427" w:right="-764" w:rightChars="-364"/>
        <w:rPr>
          <w:rFonts w:ascii="Arial" w:hAnsi="Arial" w:eastAsia="宋体" w:cs="Arial"/>
          <w:b/>
          <w:sz w:val="24"/>
          <w:szCs w:val="24"/>
        </w:rPr>
      </w:pPr>
      <w:r>
        <w:rPr>
          <w:rFonts w:ascii="Arial" w:hAnsi="Arial" w:eastAsia="宋体" w:cs="Arial"/>
          <w:b/>
          <w:sz w:val="24"/>
          <w:szCs w:val="24"/>
        </w:rPr>
        <w:t>Abstract</w:t>
      </w:r>
    </w:p>
    <w:p w14:paraId="0F09803B">
      <w:pPr>
        <w:spacing w:before="156" w:beforeLines="50" w:after="156" w:afterLines="50"/>
        <w:ind w:left="-897" w:leftChars="-427" w:right="-764" w:rightChars="-364"/>
        <w:rPr>
          <w:rFonts w:ascii="Arial" w:hAnsi="Arial" w:cs="Arial"/>
          <w:szCs w:val="21"/>
        </w:rPr>
      </w:pPr>
      <w:r>
        <mc:AlternateContent>
          <mc:Choice Requires="wps">
            <w:drawing>
              <wp:anchor distT="0" distB="0" distL="114300" distR="114300" simplePos="0" relativeHeight="251660288" behindDoc="0" locked="0" layoutInCell="1" allowOverlap="1">
                <wp:simplePos x="0" y="0"/>
                <wp:positionH relativeFrom="column">
                  <wp:posOffset>478790</wp:posOffset>
                </wp:positionH>
                <wp:positionV relativeFrom="paragraph">
                  <wp:posOffset>8212455</wp:posOffset>
                </wp:positionV>
                <wp:extent cx="4681220" cy="0"/>
                <wp:effectExtent l="0" t="12700" r="5080" b="0"/>
                <wp:wrapNone/>
                <wp:docPr id="18" name="直接连接符 18"/>
                <wp:cNvGraphicFramePr/>
                <a:graphic xmlns:a="http://schemas.openxmlformats.org/drawingml/2006/main">
                  <a:graphicData uri="http://schemas.microsoft.com/office/word/2010/wordprocessingShape">
                    <wps:wsp>
                      <wps:cNvCnPr/>
                      <wps:spPr>
                        <a:xfrm>
                          <a:off x="0" y="0"/>
                          <a:ext cx="46812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37.7pt;margin-top:646.65pt;height:0pt;width:368.6pt;z-index:251660288;mso-width-relative:page;mso-height-relative:page;" filled="f" stroked="t" coordsize="21600,21600" o:gfxdata="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JbL&#10;StgAAAAMAQAADwAAAAAAAAABACAAAAAiAAAAZHJzL2Rvd25yZXYueG1sUEsBAhQAFAAAAAgAh07i&#10;QP7udQvpAQAAtAMAAA4AAAAAAAAAAQAgAAAAJwEAAGRycy9lMm9Eb2MueG1sUEsFBgAAAAAGAAYA&#10;WQEAAIIFAAAAAA==&#10;">
                <v:fill on="f" focussize="0,0"/>
                <v:stroke weight="1.5pt" color="#ED7D31 [3205]" miterlimit="8" joinstyle="miter"/>
                <v:imagedata o:title=""/>
                <o:lock v:ext="edit" aspectratio="f"/>
              </v:line>
            </w:pict>
          </mc:Fallback>
        </mc:AlternateContent>
      </w:r>
      <w:r>
        <w:rPr>
          <w:rFonts w:hint="eastAsia" w:ascii="Arial" w:hAnsi="Arial" w:cs="Arial"/>
          <w:szCs w:val="21"/>
        </w:rPr>
        <w:t>Acne is a prevalent skin condition that significantly impacts the quality of life for millions worldwide. In recent years, microRNAs (miRNAs) have gained recognition as crucial regulators of gene expression, playing a pivotal role in the pathogenesis and progression of acne. This review synthesizes current knowledge on the applications of miRNAs in acne treatment, elucidating their mechanisms in regulating inflammatory responses, sebaceous gland function, bacterial infections, and skin repair processes. Additionally, we explore the potential of miRNA-based therapeutic strategies and their future directions, offering new insights for clinical approaches to acne management.</w:t>
      </w:r>
    </w:p>
    <w:p w14:paraId="7A890AC2">
      <w:pPr>
        <w:spacing w:before="156" w:beforeLines="50" w:after="156" w:afterLines="50"/>
        <w:ind w:left="-897" w:leftChars="-427" w:right="-764" w:rightChars="-364"/>
        <w:rPr>
          <w:rFonts w:ascii="Arial" w:hAnsi="Arial" w:cs="Arial"/>
          <w:b/>
          <w:bCs/>
          <w:szCs w:val="21"/>
        </w:rPr>
        <w:sectPr>
          <w:headerReference r:id="rId4" w:type="first"/>
          <w:headerReference r:id="rId3" w:type="default"/>
          <w:footerReference r:id="rId5" w:type="default"/>
          <w:pgSz w:w="11906" w:h="16838"/>
          <w:pgMar w:top="568" w:right="1800" w:bottom="851" w:left="1800" w:header="568" w:footer="992" w:gutter="0"/>
          <w:cols w:space="425" w:num="1"/>
          <w:titlePg/>
          <w:docGrid w:type="lines" w:linePitch="312" w:charSpace="0"/>
        </w:sectPr>
      </w:pPr>
      <w:r>
        <w:rPr>
          <w:rFonts w:ascii="Arial" w:hAnsi="Arial" w:cs="Arial"/>
          <w:b/>
          <w:bCs/>
          <w:szCs w:val="21"/>
        </w:rPr>
        <w:t xml:space="preserve">Keywords: </w:t>
      </w:r>
      <w:r>
        <w:rPr>
          <w:rFonts w:hint="eastAsia" w:ascii="Arial" w:hAnsi="Arial" w:cs="Arial"/>
          <w:b/>
          <w:bCs/>
          <w:szCs w:val="21"/>
        </w:rPr>
        <w:t>microRNA, acne, treatment, skin</w:t>
      </w:r>
      <w:bookmarkStart w:id="2" w:name="_GoBack"/>
      <w:bookmarkEnd w:id="2"/>
      <w:r>
        <w:rPr>
          <w:rFonts w:ascii="Arial" w:hAnsi="Arial" w:eastAsia="宋体" w:cs="Arial"/>
          <w:sz w:val="24"/>
          <w:szCs w:val="24"/>
        </w:rPr>
        <mc:AlternateContent>
          <mc:Choice Requires="wps">
            <w:drawing>
              <wp:anchor distT="45720" distB="45720" distL="114300" distR="114300" simplePos="0" relativeHeight="251661312" behindDoc="0" locked="0" layoutInCell="1" allowOverlap="1">
                <wp:simplePos x="0" y="0"/>
                <wp:positionH relativeFrom="column">
                  <wp:posOffset>-897890</wp:posOffset>
                </wp:positionH>
                <wp:positionV relativeFrom="paragraph">
                  <wp:posOffset>327025</wp:posOffset>
                </wp:positionV>
                <wp:extent cx="7308850" cy="2143125"/>
                <wp:effectExtent l="0" t="0" r="6350" b="9525"/>
                <wp:wrapSquare wrapText="bothSides"/>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308850" cy="2143125"/>
                        </a:xfrm>
                        <a:prstGeom prst="rect">
                          <a:avLst/>
                        </a:prstGeom>
                        <a:solidFill>
                          <a:srgbClr val="FFFFFF"/>
                        </a:solidFill>
                        <a:ln w="9525">
                          <a:noFill/>
                          <a:miter lim="800000"/>
                        </a:ln>
                      </wps:spPr>
                      <wps:txbx>
                        <w:txbxContent>
                          <w:p w14:paraId="291DC4C9">
                            <w:pPr>
                              <w:pStyle w:val="8"/>
                              <w:numPr>
                                <w:ilvl w:val="0"/>
                                <w:numId w:val="1"/>
                              </w:numPr>
                              <w:spacing w:line="80" w:lineRule="atLeast"/>
                              <w:ind w:left="426" w:right="4261" w:rightChars="2029" w:firstLine="0" w:firstLineChars="0"/>
                              <w:rPr>
                                <w:rFonts w:ascii="宋体" w:hAnsi="宋体" w:eastAsia="宋体" w:cs="宋体"/>
                                <w:sz w:val="24"/>
                                <w:szCs w:val="24"/>
                              </w:rPr>
                            </w:pPr>
                            <w:r>
                              <w:rPr>
                                <w:rFonts w:hint="eastAsia" w:ascii="Arial" w:hAnsi="Arial" w:cs="Arial"/>
                                <w:sz w:val="18"/>
                                <w:szCs w:val="20"/>
                              </w:rPr>
                              <w:t>Department of Dermatology</w:t>
                            </w:r>
                            <w:r>
                              <w:rPr>
                                <w:rFonts w:ascii="Arial" w:hAnsi="Arial" w:cs="Arial"/>
                                <w:sz w:val="18"/>
                                <w:szCs w:val="20"/>
                              </w:rPr>
                              <w:t xml:space="preserve">, </w:t>
                            </w:r>
                            <w:r>
                              <w:rPr>
                                <w:rFonts w:hint="eastAsia" w:ascii="Arial" w:hAnsi="Arial" w:cs="Arial"/>
                                <w:sz w:val="18"/>
                                <w:szCs w:val="20"/>
                              </w:rPr>
                              <w:t>Affiliated Yan'an Hospital of Kunming Medical University</w:t>
                            </w:r>
                            <w:r>
                              <w:rPr>
                                <w:rFonts w:ascii="Arial" w:hAnsi="Arial" w:cs="Arial"/>
                                <w:sz w:val="18"/>
                                <w:szCs w:val="20"/>
                              </w:rPr>
                              <w:t xml:space="preserve">, No. </w:t>
                            </w:r>
                            <w:r>
                              <w:rPr>
                                <w:rFonts w:hint="eastAsia" w:ascii="Arial" w:hAnsi="Arial" w:cs="Arial"/>
                                <w:sz w:val="18"/>
                                <w:szCs w:val="20"/>
                                <w:lang w:val="en-US" w:eastAsia="zh-CN"/>
                              </w:rPr>
                              <w:t>245</w:t>
                            </w:r>
                            <w:r>
                              <w:rPr>
                                <w:rFonts w:ascii="Arial" w:hAnsi="Arial" w:cs="Arial"/>
                                <w:sz w:val="18"/>
                                <w:szCs w:val="20"/>
                              </w:rPr>
                              <w:t xml:space="preserve"> </w:t>
                            </w:r>
                            <w:r>
                              <w:rPr>
                                <w:rFonts w:hint="eastAsia" w:ascii="Arial" w:hAnsi="Arial" w:cs="Arial"/>
                                <w:sz w:val="18"/>
                                <w:szCs w:val="20"/>
                                <w:lang w:val="en-US" w:eastAsia="zh-CN"/>
                              </w:rPr>
                              <w:t>Renmin</w:t>
                            </w:r>
                            <w:r>
                              <w:rPr>
                                <w:rFonts w:ascii="Arial" w:hAnsi="Arial" w:cs="Arial"/>
                                <w:sz w:val="18"/>
                                <w:szCs w:val="20"/>
                              </w:rPr>
                              <w:t xml:space="preserve"> Road, Kunming, 650</w:t>
                            </w:r>
                            <w:r>
                              <w:rPr>
                                <w:rFonts w:hint="eastAsia" w:ascii="Arial" w:hAnsi="Arial" w:cs="Arial"/>
                                <w:sz w:val="18"/>
                                <w:szCs w:val="20"/>
                                <w:lang w:val="en-US" w:eastAsia="zh-CN"/>
                              </w:rPr>
                              <w:t>500</w:t>
                            </w:r>
                            <w:r>
                              <w:rPr>
                                <w:rFonts w:ascii="Arial" w:hAnsi="Arial" w:cs="Arial"/>
                                <w:sz w:val="18"/>
                                <w:szCs w:val="20"/>
                              </w:rPr>
                              <w:t>, Yunnan, China</w:t>
                            </w:r>
                          </w:p>
                          <w:p w14:paraId="76131B2C">
                            <w:pPr>
                              <w:pStyle w:val="8"/>
                              <w:numPr>
                                <w:ilvl w:val="0"/>
                                <w:numId w:val="1"/>
                              </w:numPr>
                              <w:spacing w:line="80" w:lineRule="atLeast"/>
                              <w:ind w:left="426" w:right="4261" w:rightChars="2029" w:firstLine="0" w:firstLineChars="0"/>
                              <w:rPr>
                                <w:rFonts w:ascii="宋体" w:hAnsi="宋体" w:eastAsia="宋体" w:cs="宋体"/>
                                <w:sz w:val="24"/>
                                <w:szCs w:val="24"/>
                              </w:rPr>
                            </w:pPr>
                            <w:r>
                              <w:rPr>
                                <w:rFonts w:hint="eastAsia" w:ascii="Arial" w:hAnsi="Arial" w:cs="Arial"/>
                                <w:sz w:val="18"/>
                                <w:szCs w:val="20"/>
                              </w:rPr>
                              <w:t>Department of Dermatology</w:t>
                            </w:r>
                            <w:r>
                              <w:rPr>
                                <w:rFonts w:ascii="Arial" w:hAnsi="Arial" w:cs="Arial"/>
                                <w:sz w:val="18"/>
                                <w:szCs w:val="20"/>
                              </w:rPr>
                              <w:t>,</w:t>
                            </w:r>
                            <w:r>
                              <w:rPr>
                                <w:rFonts w:hint="eastAsia" w:ascii="Arial" w:hAnsi="Arial" w:cs="Arial"/>
                                <w:sz w:val="18"/>
                                <w:szCs w:val="20"/>
                                <w:lang w:val="en-US" w:eastAsia="zh-CN"/>
                              </w:rPr>
                              <w:t xml:space="preserve"> </w:t>
                            </w:r>
                            <w:r>
                              <w:rPr>
                                <w:rFonts w:hint="eastAsia" w:ascii="Arial" w:hAnsi="Arial" w:cs="Arial"/>
                                <w:sz w:val="18"/>
                                <w:szCs w:val="20"/>
                              </w:rPr>
                              <w:t>Kunming Children's Hospital</w:t>
                            </w:r>
                            <w:r>
                              <w:rPr>
                                <w:rFonts w:hint="eastAsia" w:ascii="Arial" w:hAnsi="Arial" w:cs="Arial"/>
                                <w:sz w:val="18"/>
                                <w:szCs w:val="20"/>
                                <w:lang w:val="en-US" w:eastAsia="zh-CN"/>
                              </w:rPr>
                              <w:t>,</w:t>
                            </w:r>
                            <w:r>
                              <w:rPr>
                                <w:rFonts w:ascii="Arial" w:hAnsi="Arial" w:cs="Arial"/>
                                <w:sz w:val="18"/>
                                <w:szCs w:val="20"/>
                              </w:rPr>
                              <w:t xml:space="preserve"> No. </w:t>
                            </w:r>
                            <w:r>
                              <w:rPr>
                                <w:rFonts w:hint="eastAsia" w:ascii="Arial" w:hAnsi="Arial" w:cs="Arial"/>
                                <w:sz w:val="18"/>
                                <w:szCs w:val="20"/>
                                <w:lang w:val="en-US" w:eastAsia="zh-CN"/>
                              </w:rPr>
                              <w:t>28</w:t>
                            </w:r>
                            <w:r>
                              <w:rPr>
                                <w:rFonts w:ascii="Arial" w:hAnsi="Arial" w:cs="Arial"/>
                                <w:sz w:val="18"/>
                                <w:szCs w:val="20"/>
                              </w:rPr>
                              <w:t xml:space="preserve"> </w:t>
                            </w:r>
                            <w:r>
                              <w:rPr>
                                <w:rFonts w:hint="eastAsia" w:ascii="Arial" w:hAnsi="Arial" w:cs="Arial"/>
                                <w:sz w:val="18"/>
                                <w:szCs w:val="20"/>
                                <w:lang w:val="en-US" w:eastAsia="zh-CN"/>
                              </w:rPr>
                              <w:t>Shulin</w:t>
                            </w:r>
                            <w:r>
                              <w:rPr>
                                <w:rFonts w:ascii="Arial" w:hAnsi="Arial" w:cs="Arial"/>
                                <w:sz w:val="18"/>
                                <w:szCs w:val="20"/>
                              </w:rPr>
                              <w:t xml:space="preserve"> Road, Kunming, 650</w:t>
                            </w:r>
                            <w:r>
                              <w:rPr>
                                <w:rFonts w:hint="eastAsia" w:ascii="Arial" w:hAnsi="Arial" w:cs="Arial"/>
                                <w:sz w:val="18"/>
                                <w:szCs w:val="20"/>
                                <w:lang w:val="en-US" w:eastAsia="zh-CN"/>
                              </w:rPr>
                              <w:t>021</w:t>
                            </w:r>
                            <w:r>
                              <w:rPr>
                                <w:rFonts w:ascii="Arial" w:hAnsi="Arial" w:cs="Arial"/>
                                <w:sz w:val="18"/>
                                <w:szCs w:val="20"/>
                              </w:rPr>
                              <w:t>, Yunnan, China</w:t>
                            </w:r>
                          </w:p>
                          <w:p w14:paraId="5606641D">
                            <w:pPr>
                              <w:pStyle w:val="8"/>
                              <w:numPr>
                                <w:ilvl w:val="0"/>
                                <w:numId w:val="1"/>
                              </w:numPr>
                              <w:spacing w:line="80" w:lineRule="atLeast"/>
                              <w:ind w:left="426" w:right="4261" w:rightChars="2029" w:firstLine="0" w:firstLineChars="0"/>
                              <w:rPr>
                                <w:rFonts w:ascii="宋体" w:hAnsi="宋体" w:eastAsia="宋体" w:cs="宋体"/>
                                <w:sz w:val="24"/>
                                <w:szCs w:val="24"/>
                              </w:rPr>
                            </w:pPr>
                            <w:r>
                              <w:rPr>
                                <w:rFonts w:hint="eastAsia" w:ascii="Arial" w:hAnsi="Arial" w:cs="Arial"/>
                                <w:sz w:val="18"/>
                                <w:szCs w:val="20"/>
                              </w:rPr>
                              <w:t>Department of Obstetrics, Affiliated Yan'an Hospital of Kunming Medical University</w:t>
                            </w:r>
                            <w:r>
                              <w:rPr>
                                <w:rFonts w:ascii="Arial" w:hAnsi="Arial" w:cs="Arial"/>
                                <w:sz w:val="18"/>
                                <w:szCs w:val="20"/>
                              </w:rPr>
                              <w:t xml:space="preserve">, No. </w:t>
                            </w:r>
                            <w:r>
                              <w:rPr>
                                <w:rFonts w:hint="eastAsia" w:ascii="Arial" w:hAnsi="Arial" w:cs="Arial"/>
                                <w:sz w:val="18"/>
                                <w:szCs w:val="20"/>
                                <w:lang w:val="en-US" w:eastAsia="zh-CN"/>
                              </w:rPr>
                              <w:t>245</w:t>
                            </w:r>
                            <w:r>
                              <w:rPr>
                                <w:rFonts w:ascii="Arial" w:hAnsi="Arial" w:cs="Arial"/>
                                <w:sz w:val="18"/>
                                <w:szCs w:val="20"/>
                              </w:rPr>
                              <w:t xml:space="preserve"> </w:t>
                            </w:r>
                            <w:r>
                              <w:rPr>
                                <w:rFonts w:hint="eastAsia" w:ascii="Arial" w:hAnsi="Arial" w:cs="Arial"/>
                                <w:sz w:val="18"/>
                                <w:szCs w:val="20"/>
                                <w:lang w:val="en-US" w:eastAsia="zh-CN"/>
                              </w:rPr>
                              <w:t>Renmin</w:t>
                            </w:r>
                            <w:r>
                              <w:rPr>
                                <w:rFonts w:ascii="Arial" w:hAnsi="Arial" w:cs="Arial"/>
                                <w:sz w:val="18"/>
                                <w:szCs w:val="20"/>
                              </w:rPr>
                              <w:t xml:space="preserve"> Road, Kunming, 65050</w:t>
                            </w:r>
                            <w:r>
                              <w:rPr>
                                <w:rFonts w:hint="eastAsia" w:ascii="Arial" w:hAnsi="Arial" w:cs="Arial"/>
                                <w:sz w:val="18"/>
                                <w:szCs w:val="20"/>
                                <w:lang w:val="en-US" w:eastAsia="zh-CN"/>
                              </w:rPr>
                              <w:t>0</w:t>
                            </w:r>
                            <w:r>
                              <w:rPr>
                                <w:rFonts w:ascii="Arial" w:hAnsi="Arial" w:cs="Arial"/>
                                <w:sz w:val="18"/>
                                <w:szCs w:val="20"/>
                              </w:rPr>
                              <w:t>, Yunnan, China</w:t>
                            </w:r>
                          </w:p>
                          <w:p w14:paraId="5E98CBC9">
                            <w:pPr>
                              <w:spacing w:line="80" w:lineRule="atLeast"/>
                              <w:ind w:right="4261" w:rightChars="2029" w:firstLine="419" w:firstLineChars="233"/>
                              <w:rPr>
                                <w:rFonts w:ascii="Arial" w:hAnsi="Arial" w:cs="Arial"/>
                                <w:sz w:val="18"/>
                                <w:szCs w:val="20"/>
                              </w:rPr>
                            </w:pPr>
                            <w:r>
                              <w:rPr>
                                <w:rFonts w:ascii="Arial" w:hAnsi="Arial" w:cs="Arial"/>
                                <w:sz w:val="18"/>
                                <w:szCs w:val="20"/>
                              </w:rPr>
                              <w:t>*C</w:t>
                            </w:r>
                            <w:r>
                              <w:rPr>
                                <w:rFonts w:hint="eastAsia" w:ascii="Arial" w:hAnsi="Arial" w:cs="Arial"/>
                                <w:sz w:val="18"/>
                                <w:szCs w:val="20"/>
                              </w:rPr>
                              <w:t>orrespon</w:t>
                            </w:r>
                            <w:r>
                              <w:rPr>
                                <w:rFonts w:ascii="Arial" w:hAnsi="Arial" w:cs="Arial"/>
                                <w:sz w:val="18"/>
                                <w:szCs w:val="20"/>
                              </w:rPr>
                              <w:t xml:space="preserve">dence: </w:t>
                            </w:r>
                            <w:r>
                              <w:rPr>
                                <w:rFonts w:hint="eastAsia" w:ascii="Arial" w:hAnsi="Arial" w:cs="Arial"/>
                                <w:sz w:val="18"/>
                                <w:szCs w:val="20"/>
                              </w:rPr>
                              <w:t>53773499@qq.com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70.7pt;margin-top:25.75pt;height:168.75pt;width:575.5pt;mso-wrap-distance-bottom:3.6pt;mso-wrap-distance-left:9pt;mso-wrap-distance-right:9pt;mso-wrap-distance-top:3.6pt;z-index:251661312;mso-width-relative:page;mso-height-relative:page;" fillcolor="#FFFFFF" filled="t" stroked="f" coordsize="21600,21600" o:gfxdata="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OewobaAAAADAEAAA8AAAAAAAAAAQAgAAAAIgAAAGRycy9k&#10;b3ducmV2LnhtbFBLAQIUABQAAAAIAIdO4kBrEVvMOQIAAFQEAAAOAAAAAAAAAAEAIAAAACkBAABk&#10;cnMvZTJvRG9jLnhtbFBLBQYAAAAABgAGAFkBAADUBQAAAAA=&#10;">
                <v:fill on="t" focussize="0,0"/>
                <v:stroke on="f" miterlimit="8" joinstyle="miter"/>
                <v:imagedata o:title=""/>
                <o:lock v:ext="edit" aspectratio="f"/>
                <v:textbox>
                  <w:txbxContent>
                    <w:p w14:paraId="291DC4C9">
                      <w:pPr>
                        <w:pStyle w:val="8"/>
                        <w:numPr>
                          <w:ilvl w:val="0"/>
                          <w:numId w:val="1"/>
                        </w:numPr>
                        <w:spacing w:line="80" w:lineRule="atLeast"/>
                        <w:ind w:left="426" w:right="4261" w:rightChars="2029" w:firstLine="0" w:firstLineChars="0"/>
                        <w:rPr>
                          <w:rFonts w:ascii="宋体" w:hAnsi="宋体" w:eastAsia="宋体" w:cs="宋体"/>
                          <w:sz w:val="24"/>
                          <w:szCs w:val="24"/>
                        </w:rPr>
                      </w:pPr>
                      <w:r>
                        <w:rPr>
                          <w:rFonts w:hint="eastAsia" w:ascii="Arial" w:hAnsi="Arial" w:cs="Arial"/>
                          <w:sz w:val="18"/>
                          <w:szCs w:val="20"/>
                        </w:rPr>
                        <w:t>Department of Dermatology</w:t>
                      </w:r>
                      <w:r>
                        <w:rPr>
                          <w:rFonts w:ascii="Arial" w:hAnsi="Arial" w:cs="Arial"/>
                          <w:sz w:val="18"/>
                          <w:szCs w:val="20"/>
                        </w:rPr>
                        <w:t xml:space="preserve">, </w:t>
                      </w:r>
                      <w:r>
                        <w:rPr>
                          <w:rFonts w:hint="eastAsia" w:ascii="Arial" w:hAnsi="Arial" w:cs="Arial"/>
                          <w:sz w:val="18"/>
                          <w:szCs w:val="20"/>
                        </w:rPr>
                        <w:t>Affiliated Yan'an Hospital of Kunming Medical University</w:t>
                      </w:r>
                      <w:r>
                        <w:rPr>
                          <w:rFonts w:ascii="Arial" w:hAnsi="Arial" w:cs="Arial"/>
                          <w:sz w:val="18"/>
                          <w:szCs w:val="20"/>
                        </w:rPr>
                        <w:t xml:space="preserve">, No. </w:t>
                      </w:r>
                      <w:r>
                        <w:rPr>
                          <w:rFonts w:hint="eastAsia" w:ascii="Arial" w:hAnsi="Arial" w:cs="Arial"/>
                          <w:sz w:val="18"/>
                          <w:szCs w:val="20"/>
                          <w:lang w:val="en-US" w:eastAsia="zh-CN"/>
                        </w:rPr>
                        <w:t>245</w:t>
                      </w:r>
                      <w:r>
                        <w:rPr>
                          <w:rFonts w:ascii="Arial" w:hAnsi="Arial" w:cs="Arial"/>
                          <w:sz w:val="18"/>
                          <w:szCs w:val="20"/>
                        </w:rPr>
                        <w:t xml:space="preserve"> </w:t>
                      </w:r>
                      <w:r>
                        <w:rPr>
                          <w:rFonts w:hint="eastAsia" w:ascii="Arial" w:hAnsi="Arial" w:cs="Arial"/>
                          <w:sz w:val="18"/>
                          <w:szCs w:val="20"/>
                          <w:lang w:val="en-US" w:eastAsia="zh-CN"/>
                        </w:rPr>
                        <w:t>Renmin</w:t>
                      </w:r>
                      <w:r>
                        <w:rPr>
                          <w:rFonts w:ascii="Arial" w:hAnsi="Arial" w:cs="Arial"/>
                          <w:sz w:val="18"/>
                          <w:szCs w:val="20"/>
                        </w:rPr>
                        <w:t xml:space="preserve"> Road, Kunming, 650</w:t>
                      </w:r>
                      <w:r>
                        <w:rPr>
                          <w:rFonts w:hint="eastAsia" w:ascii="Arial" w:hAnsi="Arial" w:cs="Arial"/>
                          <w:sz w:val="18"/>
                          <w:szCs w:val="20"/>
                          <w:lang w:val="en-US" w:eastAsia="zh-CN"/>
                        </w:rPr>
                        <w:t>500</w:t>
                      </w:r>
                      <w:r>
                        <w:rPr>
                          <w:rFonts w:ascii="Arial" w:hAnsi="Arial" w:cs="Arial"/>
                          <w:sz w:val="18"/>
                          <w:szCs w:val="20"/>
                        </w:rPr>
                        <w:t>, Yunnan, China</w:t>
                      </w:r>
                    </w:p>
                    <w:p w14:paraId="76131B2C">
                      <w:pPr>
                        <w:pStyle w:val="8"/>
                        <w:numPr>
                          <w:ilvl w:val="0"/>
                          <w:numId w:val="1"/>
                        </w:numPr>
                        <w:spacing w:line="80" w:lineRule="atLeast"/>
                        <w:ind w:left="426" w:right="4261" w:rightChars="2029" w:firstLine="0" w:firstLineChars="0"/>
                        <w:rPr>
                          <w:rFonts w:ascii="宋体" w:hAnsi="宋体" w:eastAsia="宋体" w:cs="宋体"/>
                          <w:sz w:val="24"/>
                          <w:szCs w:val="24"/>
                        </w:rPr>
                      </w:pPr>
                      <w:r>
                        <w:rPr>
                          <w:rFonts w:hint="eastAsia" w:ascii="Arial" w:hAnsi="Arial" w:cs="Arial"/>
                          <w:sz w:val="18"/>
                          <w:szCs w:val="20"/>
                        </w:rPr>
                        <w:t>Department of Dermatology</w:t>
                      </w:r>
                      <w:r>
                        <w:rPr>
                          <w:rFonts w:ascii="Arial" w:hAnsi="Arial" w:cs="Arial"/>
                          <w:sz w:val="18"/>
                          <w:szCs w:val="20"/>
                        </w:rPr>
                        <w:t>,</w:t>
                      </w:r>
                      <w:r>
                        <w:rPr>
                          <w:rFonts w:hint="eastAsia" w:ascii="Arial" w:hAnsi="Arial" w:cs="Arial"/>
                          <w:sz w:val="18"/>
                          <w:szCs w:val="20"/>
                          <w:lang w:val="en-US" w:eastAsia="zh-CN"/>
                        </w:rPr>
                        <w:t xml:space="preserve"> </w:t>
                      </w:r>
                      <w:r>
                        <w:rPr>
                          <w:rFonts w:hint="eastAsia" w:ascii="Arial" w:hAnsi="Arial" w:cs="Arial"/>
                          <w:sz w:val="18"/>
                          <w:szCs w:val="20"/>
                        </w:rPr>
                        <w:t>Kunming Children's Hospital</w:t>
                      </w:r>
                      <w:r>
                        <w:rPr>
                          <w:rFonts w:hint="eastAsia" w:ascii="Arial" w:hAnsi="Arial" w:cs="Arial"/>
                          <w:sz w:val="18"/>
                          <w:szCs w:val="20"/>
                          <w:lang w:val="en-US" w:eastAsia="zh-CN"/>
                        </w:rPr>
                        <w:t>,</w:t>
                      </w:r>
                      <w:r>
                        <w:rPr>
                          <w:rFonts w:ascii="Arial" w:hAnsi="Arial" w:cs="Arial"/>
                          <w:sz w:val="18"/>
                          <w:szCs w:val="20"/>
                        </w:rPr>
                        <w:t xml:space="preserve"> No. </w:t>
                      </w:r>
                      <w:r>
                        <w:rPr>
                          <w:rFonts w:hint="eastAsia" w:ascii="Arial" w:hAnsi="Arial" w:cs="Arial"/>
                          <w:sz w:val="18"/>
                          <w:szCs w:val="20"/>
                          <w:lang w:val="en-US" w:eastAsia="zh-CN"/>
                        </w:rPr>
                        <w:t>28</w:t>
                      </w:r>
                      <w:r>
                        <w:rPr>
                          <w:rFonts w:ascii="Arial" w:hAnsi="Arial" w:cs="Arial"/>
                          <w:sz w:val="18"/>
                          <w:szCs w:val="20"/>
                        </w:rPr>
                        <w:t xml:space="preserve"> </w:t>
                      </w:r>
                      <w:r>
                        <w:rPr>
                          <w:rFonts w:hint="eastAsia" w:ascii="Arial" w:hAnsi="Arial" w:cs="Arial"/>
                          <w:sz w:val="18"/>
                          <w:szCs w:val="20"/>
                          <w:lang w:val="en-US" w:eastAsia="zh-CN"/>
                        </w:rPr>
                        <w:t>Shulin</w:t>
                      </w:r>
                      <w:r>
                        <w:rPr>
                          <w:rFonts w:ascii="Arial" w:hAnsi="Arial" w:cs="Arial"/>
                          <w:sz w:val="18"/>
                          <w:szCs w:val="20"/>
                        </w:rPr>
                        <w:t xml:space="preserve"> Road, Kunming, 650</w:t>
                      </w:r>
                      <w:r>
                        <w:rPr>
                          <w:rFonts w:hint="eastAsia" w:ascii="Arial" w:hAnsi="Arial" w:cs="Arial"/>
                          <w:sz w:val="18"/>
                          <w:szCs w:val="20"/>
                          <w:lang w:val="en-US" w:eastAsia="zh-CN"/>
                        </w:rPr>
                        <w:t>021</w:t>
                      </w:r>
                      <w:r>
                        <w:rPr>
                          <w:rFonts w:ascii="Arial" w:hAnsi="Arial" w:cs="Arial"/>
                          <w:sz w:val="18"/>
                          <w:szCs w:val="20"/>
                        </w:rPr>
                        <w:t>, Yunnan, China</w:t>
                      </w:r>
                    </w:p>
                    <w:p w14:paraId="5606641D">
                      <w:pPr>
                        <w:pStyle w:val="8"/>
                        <w:numPr>
                          <w:ilvl w:val="0"/>
                          <w:numId w:val="1"/>
                        </w:numPr>
                        <w:spacing w:line="80" w:lineRule="atLeast"/>
                        <w:ind w:left="426" w:right="4261" w:rightChars="2029" w:firstLine="0" w:firstLineChars="0"/>
                        <w:rPr>
                          <w:rFonts w:ascii="宋体" w:hAnsi="宋体" w:eastAsia="宋体" w:cs="宋体"/>
                          <w:sz w:val="24"/>
                          <w:szCs w:val="24"/>
                        </w:rPr>
                      </w:pPr>
                      <w:r>
                        <w:rPr>
                          <w:rFonts w:hint="eastAsia" w:ascii="Arial" w:hAnsi="Arial" w:cs="Arial"/>
                          <w:sz w:val="18"/>
                          <w:szCs w:val="20"/>
                        </w:rPr>
                        <w:t>Department of Obstetrics, Affiliated Yan'an Hospital of Kunming Medical University</w:t>
                      </w:r>
                      <w:r>
                        <w:rPr>
                          <w:rFonts w:ascii="Arial" w:hAnsi="Arial" w:cs="Arial"/>
                          <w:sz w:val="18"/>
                          <w:szCs w:val="20"/>
                        </w:rPr>
                        <w:t xml:space="preserve">, No. </w:t>
                      </w:r>
                      <w:r>
                        <w:rPr>
                          <w:rFonts w:hint="eastAsia" w:ascii="Arial" w:hAnsi="Arial" w:cs="Arial"/>
                          <w:sz w:val="18"/>
                          <w:szCs w:val="20"/>
                          <w:lang w:val="en-US" w:eastAsia="zh-CN"/>
                        </w:rPr>
                        <w:t>245</w:t>
                      </w:r>
                      <w:r>
                        <w:rPr>
                          <w:rFonts w:ascii="Arial" w:hAnsi="Arial" w:cs="Arial"/>
                          <w:sz w:val="18"/>
                          <w:szCs w:val="20"/>
                        </w:rPr>
                        <w:t xml:space="preserve"> </w:t>
                      </w:r>
                      <w:r>
                        <w:rPr>
                          <w:rFonts w:hint="eastAsia" w:ascii="Arial" w:hAnsi="Arial" w:cs="Arial"/>
                          <w:sz w:val="18"/>
                          <w:szCs w:val="20"/>
                          <w:lang w:val="en-US" w:eastAsia="zh-CN"/>
                        </w:rPr>
                        <w:t>Renmin</w:t>
                      </w:r>
                      <w:r>
                        <w:rPr>
                          <w:rFonts w:ascii="Arial" w:hAnsi="Arial" w:cs="Arial"/>
                          <w:sz w:val="18"/>
                          <w:szCs w:val="20"/>
                        </w:rPr>
                        <w:t xml:space="preserve"> Road, Kunming, 65050</w:t>
                      </w:r>
                      <w:r>
                        <w:rPr>
                          <w:rFonts w:hint="eastAsia" w:ascii="Arial" w:hAnsi="Arial" w:cs="Arial"/>
                          <w:sz w:val="18"/>
                          <w:szCs w:val="20"/>
                          <w:lang w:val="en-US" w:eastAsia="zh-CN"/>
                        </w:rPr>
                        <w:t>0</w:t>
                      </w:r>
                      <w:r>
                        <w:rPr>
                          <w:rFonts w:ascii="Arial" w:hAnsi="Arial" w:cs="Arial"/>
                          <w:sz w:val="18"/>
                          <w:szCs w:val="20"/>
                        </w:rPr>
                        <w:t>, Yunnan, China</w:t>
                      </w:r>
                    </w:p>
                    <w:p w14:paraId="5E98CBC9">
                      <w:pPr>
                        <w:spacing w:line="80" w:lineRule="atLeast"/>
                        <w:ind w:right="4261" w:rightChars="2029" w:firstLine="419" w:firstLineChars="233"/>
                        <w:rPr>
                          <w:rFonts w:ascii="Arial" w:hAnsi="Arial" w:cs="Arial"/>
                          <w:sz w:val="18"/>
                          <w:szCs w:val="20"/>
                        </w:rPr>
                      </w:pPr>
                      <w:r>
                        <w:rPr>
                          <w:rFonts w:ascii="Arial" w:hAnsi="Arial" w:cs="Arial"/>
                          <w:sz w:val="18"/>
                          <w:szCs w:val="20"/>
                        </w:rPr>
                        <w:t>*C</w:t>
                      </w:r>
                      <w:r>
                        <w:rPr>
                          <w:rFonts w:hint="eastAsia" w:ascii="Arial" w:hAnsi="Arial" w:cs="Arial"/>
                          <w:sz w:val="18"/>
                          <w:szCs w:val="20"/>
                        </w:rPr>
                        <w:t>orrespon</w:t>
                      </w:r>
                      <w:r>
                        <w:rPr>
                          <w:rFonts w:ascii="Arial" w:hAnsi="Arial" w:cs="Arial"/>
                          <w:sz w:val="18"/>
                          <w:szCs w:val="20"/>
                        </w:rPr>
                        <w:t xml:space="preserve">dence: </w:t>
                      </w:r>
                      <w:r>
                        <w:rPr>
                          <w:rFonts w:hint="eastAsia" w:ascii="Arial" w:hAnsi="Arial" w:cs="Arial"/>
                          <w:sz w:val="18"/>
                          <w:szCs w:val="20"/>
                        </w:rPr>
                        <w:t>53773499@qq.com</w:t>
                      </w:r>
                    </w:p>
                  </w:txbxContent>
                </v:textbox>
                <w10:wrap type="square"/>
              </v:shape>
            </w:pict>
          </mc:Fallback>
        </mc:AlternateContent>
      </w:r>
      <w:r>
        <w:rPr>
          <w:rFonts w:ascii="Arial" w:hAnsi="Arial" w:eastAsia="宋体" w:cs="Arial"/>
          <w:sz w:val="24"/>
          <w:szCs w:val="24"/>
        </w:rPr>
        <mc:AlternateContent>
          <mc:Choice Requires="wps">
            <w:drawing>
              <wp:anchor distT="0" distB="0" distL="114300" distR="114300" simplePos="0" relativeHeight="251662336" behindDoc="0" locked="0" layoutInCell="1" allowOverlap="1">
                <wp:simplePos x="0" y="0"/>
                <wp:positionH relativeFrom="column">
                  <wp:posOffset>-664210</wp:posOffset>
                </wp:positionH>
                <wp:positionV relativeFrom="paragraph">
                  <wp:posOffset>346075</wp:posOffset>
                </wp:positionV>
                <wp:extent cx="46812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4681182"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52.3pt;margin-top:27.25pt;height:0pt;width:368.6pt;z-index:251662336;mso-width-relative:page;mso-height-relative:page;" filled="f" stroked="t" coordsize="21600,21600" o:gfxdata="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gLJr2AAAAAoBAAAPAAAAAAAAAAEAIAAAACIAAABkcnMvZG93bnJldi54bWxQSwECFAAUAAAACACH&#10;TuJAHATEQusBAAC0AwAADgAAAAAAAAABACAAAAAnAQAAZHJzL2Uyb0RvYy54bWxQSwUGAAAAAAYA&#10;BgBZAQAAhAUAAAAA&#10;">
                <v:fill on="f" focussize="0,0"/>
                <v:stroke weight="1.5pt" color="#ED7D31 [3205]" miterlimit="8" joinstyle="miter"/>
                <v:imagedata o:title=""/>
                <o:lock v:ext="edit" aspectratio="f"/>
              </v:line>
            </w:pict>
          </mc:Fallback>
        </mc:AlternateContent>
      </w:r>
      <w:r>
        <w:rPr>
          <w:rFonts w:ascii="Arial" w:hAnsi="Arial" w:cs="Arial"/>
        </w:rPr>
        <w:br w:type="page"/>
      </w:r>
    </w:p>
    <w:p w14:paraId="766E9E92">
      <w:pPr>
        <w:widowControl/>
        <w:jc w:val="left"/>
        <w:rPr>
          <w:rFonts w:ascii="Times New Roman" w:hAnsi="Times New Roman" w:eastAsia="宋体"/>
          <w:b/>
          <w:sz w:val="28"/>
          <w:szCs w:val="24"/>
        </w:rPr>
      </w:pPr>
      <w:r>
        <w:rPr>
          <w:rFonts w:ascii="Times New Roman" w:hAnsi="Times New Roman" w:eastAsia="宋体"/>
          <w:b/>
          <w:sz w:val="28"/>
          <w:szCs w:val="24"/>
        </w:rPr>
        <w:t>Introduction</w:t>
      </w:r>
    </w:p>
    <w:p w14:paraId="0CC64F0A">
      <w:pPr>
        <w:rPr>
          <w:rFonts w:ascii="Times New Roman" w:hAnsi="Times New Roman" w:eastAsia="宋体"/>
          <w:sz w:val="20"/>
          <w:szCs w:val="20"/>
        </w:rPr>
        <w:sectPr>
          <w:headerReference r:id="rId7" w:type="first"/>
          <w:headerReference r:id="rId6" w:type="default"/>
          <w:pgSz w:w="11906" w:h="16838"/>
          <w:pgMar w:top="993" w:right="1983" w:bottom="1440" w:left="1800" w:header="851" w:footer="992" w:gutter="0"/>
          <w:pgNumType w:start="3"/>
          <w:cols w:space="425" w:num="1"/>
          <w:docGrid w:type="lines" w:linePitch="312" w:charSpace="0"/>
        </w:sectPr>
      </w:pPr>
    </w:p>
    <w:p w14:paraId="1D89727C">
      <w:pPr>
        <w:keepNext/>
        <w:framePr w:dropCap="drop" w:lines="3" w:wrap="around" w:vAnchor="text" w:hAnchor="page" w:x="1574" w:y="176"/>
        <w:spacing w:before="41" w:line="812" w:lineRule="exact"/>
        <w:textAlignment w:val="baseline"/>
        <w:rPr>
          <w:rFonts w:hint="eastAsia" w:ascii="Times New Roman" w:hAnsi="Times New Roman" w:eastAsia="宋体" w:cs="Times New Roman"/>
          <w:position w:val="-8"/>
          <w:sz w:val="106"/>
          <w:szCs w:val="20"/>
          <w:lang w:val="en-US" w:eastAsia="zh-CN"/>
        </w:rPr>
      </w:pPr>
      <w:r>
        <w:rPr>
          <w:rFonts w:hint="eastAsia" w:ascii="Times New Roman" w:hAnsi="Times New Roman" w:eastAsia="宋体" w:cs="Times New Roman"/>
          <w:position w:val="-8"/>
          <w:sz w:val="106"/>
          <w:szCs w:val="20"/>
          <w:lang w:val="en-US" w:eastAsia="zh-CN"/>
        </w:rPr>
        <w:t>A</w:t>
      </w:r>
    </w:p>
    <w:p w14:paraId="0B2C01AE">
      <w:pPr>
        <w:rPr>
          <w:rFonts w:hint="default" w:ascii="Times New Roman" w:hAnsi="Times New Roman" w:eastAsia="宋体"/>
          <w:sz w:val="20"/>
          <w:szCs w:val="20"/>
          <w:lang w:val="en-US" w:eastAsia="zh-CN"/>
        </w:rPr>
      </w:pPr>
      <w:r>
        <w:rPr>
          <w:rFonts w:hint="eastAsia" w:ascii="Times New Roman" w:hAnsi="Times New Roman" w:eastAsia="宋体"/>
          <w:sz w:val="20"/>
          <w:szCs w:val="20"/>
        </w:rPr>
        <w:t>cne vulgaris is a prevalent inflammatory skin disorder, primarily affecting adolescents and young adults, characterized by excessive sebum production, abnormal keratinization, bacterial colonization, and inflammatory responses. The pathogenesis of acne is multifactorial, involving intricate interactions between the pilosebaceous unit and Cutibacterium acnes (</w:t>
      </w:r>
      <w:r>
        <w:rPr>
          <w:rFonts w:hint="eastAsia" w:ascii="Times New Roman" w:hAnsi="Times New Roman" w:eastAsia="宋体"/>
          <w:i/>
          <w:iCs/>
          <w:sz w:val="20"/>
          <w:szCs w:val="20"/>
        </w:rPr>
        <w:t>C. acnes</w:t>
      </w:r>
      <w:r>
        <w:rPr>
          <w:rFonts w:hint="eastAsia" w:ascii="Times New Roman" w:hAnsi="Times New Roman" w:eastAsia="宋体"/>
          <w:sz w:val="20"/>
          <w:szCs w:val="20"/>
        </w:rPr>
        <w:t>), contributing to the formation of comedones, papules, pustules, and nodules[1]. Recent advances in molecular biology have highlighted the significant role of microRNAs (miRNAs) in regulating various physiological and pathological processes, including skin conditions like acne. These small, non-coding RNA molecules modulate gene expression post-transcriptionally, influencing inflammatory pathways and cellular responses in the skin[2].</w:t>
      </w:r>
      <w:r>
        <w:rPr>
          <w:rFonts w:hint="eastAsia" w:ascii="Times New Roman" w:hAnsi="Times New Roman" w:eastAsia="宋体"/>
          <w:sz w:val="20"/>
          <w:szCs w:val="20"/>
          <w:lang w:val="en-US" w:eastAsia="zh-CN"/>
        </w:rPr>
        <w:t xml:space="preserve"> The therapeutic potential of targeting miRNAs in acne treatment has gained attention due to their ability to regulate key inflammatory mediators and signaling pathways involved in the disease's pathogenesis. For instance, specific miRNAs such as miR-21, miR-146a, and miR-223 have been implicated in the inflammatory processes associated with acne, making them promising candidates for therapeutic intervention [3]. As research continues to elucidate the role of these molecules, the prospect of utilizing miRNA modulation as a novel treatment strategy appears increasingly viable. This review aims to explore the mechanisms by which miRNAs influence acne pathogenesis, their potential as biomarkers for disease severity, and their prospects for clinical applications in acne management. Understanding the interplay between miRNAs and acne pathophysiology could pave the way for innovative therapeutic approaches, potentially leading to more effective treatments with fewer side effects compared to traditional therapies. Given the chronic nature of acne and its impact on the quality of life, the development of targeted therapies that leverage the regulatory functions of miRNAs could represent a significant advancement in dermatological care. This review will analyze current findings on miRNA involvement in acne, discuss the underlying mechanisms, and evaluate the future prospects of miRNA-targeted therapies in clinical settings [3][2].</w:t>
      </w:r>
    </w:p>
    <w:p w14:paraId="678D770A">
      <w:pPr>
        <w:spacing w:line="360" w:lineRule="auto"/>
        <w:rPr>
          <w:rFonts w:ascii="Times New Roman" w:hAnsi="Times New Roman" w:eastAsia="宋体"/>
          <w:b/>
          <w:sz w:val="28"/>
          <w:szCs w:val="24"/>
        </w:rPr>
      </w:pPr>
      <w:r>
        <w:rPr>
          <w:rFonts w:hint="eastAsia" w:ascii="Times New Roman" w:hAnsi="Times New Roman" w:eastAsia="宋体"/>
          <w:b/>
          <w:sz w:val="28"/>
          <w:szCs w:val="24"/>
          <w:lang w:val="en-US" w:eastAsia="zh-CN"/>
        </w:rPr>
        <w:t>m</w:t>
      </w:r>
      <w:r>
        <w:rPr>
          <w:rFonts w:hint="eastAsia" w:ascii="Times New Roman" w:hAnsi="Times New Roman" w:eastAsia="宋体"/>
          <w:b/>
          <w:sz w:val="28"/>
          <w:szCs w:val="24"/>
        </w:rPr>
        <w:t>iRNA in Acne Treatment</w:t>
      </w:r>
    </w:p>
    <w:p w14:paraId="391CB045">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lang w:val="en-US" w:eastAsia="zh-CN"/>
        </w:rPr>
        <w:t xml:space="preserve">2 </w:t>
      </w:r>
      <w:r>
        <w:rPr>
          <w:rFonts w:hint="eastAsia" w:ascii="Times New Roman" w:hAnsi="Times New Roman" w:eastAsia="宋体"/>
          <w:b/>
          <w:sz w:val="20"/>
          <w:szCs w:val="18"/>
        </w:rPr>
        <w:t>Basic Concepts and Classification of microRNA</w:t>
      </w:r>
    </w:p>
    <w:p w14:paraId="1CA327A7">
      <w:pPr>
        <w:rPr>
          <w:rFonts w:hint="eastAsia" w:ascii="Times New Roman" w:hAnsi="Times New Roman" w:eastAsia="宋体"/>
          <w:sz w:val="20"/>
          <w:szCs w:val="20"/>
        </w:rPr>
      </w:pPr>
      <w:r>
        <w:rPr>
          <w:rFonts w:hint="eastAsia" w:ascii="Times New Roman" w:hAnsi="Times New Roman" w:eastAsia="宋体"/>
          <w:sz w:val="20"/>
          <w:szCs w:val="20"/>
        </w:rPr>
        <w:t>MicroRNAs (miRNAs) are small, non-coding RNA molecules that play a crucial role in regulating gene expression at the post-transcriptional level. Typically ranging from 18 to 25 nucleotides in length, miRNAs function by binding to complementary sequences in messenger RNAs (mRNAs), leading to mRNA degradation or inhibition of translation. This regulatory mechanism is essential for various biological processes, including development, differentiation, proliferation, and apoptosis. The discovery of miRNAs has significantly advanced our understanding of gene regulation and has opened new avenues for therapeutic interventions in various diseases, including cancer and cardiovascular disorders [4][5].</w:t>
      </w:r>
    </w:p>
    <w:p w14:paraId="7833EBB6">
      <w:pPr>
        <w:rPr>
          <w:rFonts w:hint="eastAsia" w:ascii="Times New Roman" w:hAnsi="Times New Roman" w:eastAsia="宋体"/>
          <w:sz w:val="20"/>
          <w:szCs w:val="20"/>
        </w:rPr>
      </w:pPr>
      <w:r>
        <w:rPr>
          <w:rFonts w:hint="eastAsia" w:ascii="Times New Roman" w:hAnsi="Times New Roman" w:eastAsia="宋体"/>
          <w:sz w:val="20"/>
          <w:szCs w:val="20"/>
        </w:rPr>
        <w:t>miRNAs are classified based on their biogenesis and functional characteristics. The primary classification includes canonical and non-canonical miRNAs. Canonical miRNAs are processed from primary transcripts (pri-miRNAs) through a series of enzymatic steps involving the Drosha and Dicer enzymes, while non-canonical miRNAs may bypass these steps or utilize alternative pathways for their generation. Additionally, miRNAs can be categorized based on their target specificity and tissue distribution, which is critical for understanding their roles in specific physiological and pathological contexts [1][6].</w:t>
      </w:r>
    </w:p>
    <w:p w14:paraId="3A34EA50">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lang w:val="en-US" w:eastAsia="zh-CN"/>
        </w:rPr>
        <w:t xml:space="preserve">2.1 </w:t>
      </w:r>
      <w:r>
        <w:rPr>
          <w:rFonts w:hint="eastAsia" w:ascii="Times New Roman" w:hAnsi="Times New Roman" w:eastAsia="宋体"/>
          <w:b/>
          <w:sz w:val="20"/>
          <w:szCs w:val="18"/>
        </w:rPr>
        <w:t>Structure and Function of microRNA</w:t>
      </w:r>
    </w:p>
    <w:p w14:paraId="158FB474">
      <w:pPr>
        <w:rPr>
          <w:rFonts w:hint="eastAsia" w:ascii="Times New Roman" w:hAnsi="Times New Roman" w:eastAsia="宋体"/>
          <w:sz w:val="20"/>
          <w:szCs w:val="20"/>
        </w:rPr>
      </w:pPr>
      <w:r>
        <w:rPr>
          <w:rFonts w:ascii="Times New Roman" w:hAnsi="Times New Roman" w:eastAsia="宋体"/>
          <w:sz w:val="20"/>
          <w:szCs w:val="20"/>
        </w:rPr>
        <w:t>For miR-192-5p overexpression or knockdown, an miR-192-5p mimic or inhibitor and corresponding NC (miR-NC) were purchased from GenePharma (Shanghai, China). SW1990 cells were transfected with either the miR-192-5p mimic, miR-192-5p inhibitor or miR-NC at a final concentration of 50 nM using Lipofectamine 2000 (Invitrogen, Carlsbad, CA, USA), according to the manufacturer’s protocol. Cells were used for miR-192-5p expression analysis or other experiments after 48 h of transfection. For ATXN7 overexpression, recombinant lentiviral overexpressing ATXN7 (GenePharma) was used to increase ATXN7 expression, with empty carrier recombinant lentiviral serving as an NC.</w:t>
      </w:r>
      <w:r>
        <w:rPr>
          <w:rFonts w:hint="eastAsia" w:ascii="Times New Roman" w:hAnsi="Times New Roman" w:eastAsia="宋体"/>
          <w:sz w:val="20"/>
          <w:szCs w:val="20"/>
        </w:rPr>
        <w:t>The structure of miRNAs is characterized by a stem-loop configuration in their precursor forms (pri-miRNAs), which is crucial for their processing and function. The initial processing of pri-miRNAs by the Drosha enzyme results in precursor miRNAs (pre-miRNAs), which are subsequently exported to the cytoplasm and further processed by Dicer into mature miRNAs. This mature miRNA is incorporated into the RNA-induced silencing complex (RISC), where it can bind to target mRNAs, leading to translational repression or degradation [7][8].</w:t>
      </w:r>
    </w:p>
    <w:p w14:paraId="376E150A">
      <w:pPr>
        <w:rPr>
          <w:rFonts w:hint="eastAsia" w:ascii="Times New Roman" w:hAnsi="Times New Roman" w:eastAsia="宋体"/>
          <w:sz w:val="20"/>
          <w:szCs w:val="20"/>
        </w:rPr>
      </w:pPr>
    </w:p>
    <w:p w14:paraId="1B0DE531">
      <w:pPr>
        <w:rPr>
          <w:rFonts w:ascii="Times New Roman" w:hAnsi="Times New Roman" w:eastAsia="宋体"/>
          <w:sz w:val="20"/>
          <w:szCs w:val="20"/>
        </w:rPr>
      </w:pPr>
      <w:r>
        <w:rPr>
          <w:rFonts w:hint="eastAsia" w:ascii="Times New Roman" w:hAnsi="Times New Roman" w:eastAsia="宋体"/>
          <w:sz w:val="20"/>
          <w:szCs w:val="20"/>
        </w:rPr>
        <w:t>The functional diversity of miRNAs is vast, as they can regulate numerous target genes simultaneously, influencing various signaling pathways and biological processes. For instance, certain miRNAs are known to modulate inflammatory responses, cellular proliferation, and apoptosis, making them critical players in both normal physiology and disease states [9][10]. Their dysregulation has been implicated in a range of diseases, including cancer, cardiovascular diseases, and neurological disorders, highlighting their potential as biomarkers and therapeutic targets [5][6].</w:t>
      </w:r>
    </w:p>
    <w:p w14:paraId="39F427F1">
      <w:pPr>
        <w:spacing w:before="156" w:beforeLines="50" w:after="156" w:afterLines="50"/>
        <w:rPr>
          <w:rFonts w:ascii="Times New Roman" w:hAnsi="Times New Roman" w:eastAsia="宋体"/>
          <w:sz w:val="20"/>
          <w:szCs w:val="20"/>
        </w:rPr>
      </w:pPr>
      <w:r>
        <w:rPr>
          <w:rFonts w:hint="eastAsia" w:ascii="Times New Roman" w:hAnsi="Times New Roman" w:eastAsia="宋体"/>
          <w:b/>
          <w:sz w:val="20"/>
          <w:szCs w:val="18"/>
          <w:lang w:val="en-US" w:eastAsia="zh-CN"/>
        </w:rPr>
        <w:t xml:space="preserve">2.2 </w:t>
      </w:r>
      <w:r>
        <w:rPr>
          <w:rFonts w:hint="eastAsia" w:ascii="Times New Roman" w:hAnsi="Times New Roman" w:eastAsia="宋体"/>
          <w:b/>
          <w:sz w:val="20"/>
          <w:szCs w:val="18"/>
        </w:rPr>
        <w:t>Classification of microRNA and its Expression in Skin</w:t>
      </w:r>
    </w:p>
    <w:p w14:paraId="1D0BAA2D">
      <w:pPr>
        <w:rPr>
          <w:rFonts w:hint="eastAsia" w:ascii="Times New Roman" w:hAnsi="Times New Roman" w:eastAsia="宋体"/>
          <w:sz w:val="20"/>
          <w:szCs w:val="20"/>
        </w:rPr>
      </w:pPr>
      <w:r>
        <w:rPr>
          <w:rFonts w:hint="eastAsia" w:ascii="Times New Roman" w:hAnsi="Times New Roman" w:eastAsia="宋体"/>
          <w:sz w:val="20"/>
          <w:szCs w:val="20"/>
        </w:rPr>
        <w:t>MicroRNAs can be classified based on their expression patterns in various tissues, including the skin. In the context of dermatology, specific miRNAs have been identified that are involved in skin development, homeostasis, and response to environmental stressors. For example, miR-21, miR-146a, and miR-31 have been shown to play significant roles in skin inflammation, wound healing, and the pathogenesis of skin disorders such as acne and psoriasis [1][11].</w:t>
      </w:r>
    </w:p>
    <w:p w14:paraId="1A353141">
      <w:pPr>
        <w:rPr>
          <w:rFonts w:hint="eastAsia" w:ascii="Times New Roman" w:hAnsi="Times New Roman" w:eastAsia="宋体"/>
          <w:sz w:val="20"/>
          <w:szCs w:val="20"/>
        </w:rPr>
      </w:pPr>
    </w:p>
    <w:p w14:paraId="24E2BE76">
      <w:pPr>
        <w:rPr>
          <w:rFonts w:ascii="Times New Roman" w:hAnsi="Times New Roman" w:eastAsia="宋体"/>
          <w:sz w:val="20"/>
          <w:szCs w:val="20"/>
        </w:rPr>
      </w:pPr>
      <w:r>
        <w:rPr>
          <w:rFonts w:hint="eastAsia" w:ascii="Times New Roman" w:hAnsi="Times New Roman" w:eastAsia="宋体"/>
          <w:sz w:val="20"/>
          <w:szCs w:val="20"/>
        </w:rPr>
        <w:t>The expression of miRNAs in the skin is regulated by various factors, including UV exposure, inflammation, and hormonal changes. This regulation is crucial for maintaining skin integrity and function. Dysregulated miRNA expression in the skin has been associated with several conditions, including skin cancer and chronic inflammatory diseases, underscoring the importance of understanding miRNA dynamics in dermatological contexts [6][11]. Furthermore, the potential for miRNAs as therapeutic targets in skin diseases is an area of active research, with ongoing studies exploring their roles in modulating inflammatory pathways and promoting skin regeneration [12][13].</w:t>
      </w:r>
    </w:p>
    <w:p w14:paraId="7842AD67">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lang w:val="en-US" w:eastAsia="zh-CN"/>
        </w:rPr>
        <w:t xml:space="preserve">3 </w:t>
      </w:r>
      <w:r>
        <w:rPr>
          <w:rFonts w:hint="eastAsia" w:ascii="Times New Roman" w:hAnsi="Times New Roman" w:eastAsia="宋体"/>
          <w:b/>
          <w:sz w:val="20"/>
          <w:szCs w:val="18"/>
        </w:rPr>
        <w:t>The Role of microRNA in the Pathogenesis of Acne</w:t>
      </w:r>
    </w:p>
    <w:p w14:paraId="336CBA43">
      <w:pPr>
        <w:spacing w:before="156" w:beforeLines="50" w:after="156" w:afterLines="50"/>
        <w:rPr>
          <w:rFonts w:hint="eastAsia" w:ascii="Times New Roman" w:hAnsi="Times New Roman" w:eastAsia="宋体"/>
          <w:sz w:val="20"/>
          <w:szCs w:val="20"/>
        </w:rPr>
      </w:pPr>
      <w:r>
        <w:rPr>
          <w:rFonts w:hint="eastAsia" w:ascii="Times New Roman" w:hAnsi="Times New Roman" w:eastAsia="宋体"/>
          <w:sz w:val="20"/>
          <w:szCs w:val="20"/>
        </w:rPr>
        <w:t>Acne vulgaris is a prevalent inflammatory skin disorder primarily affecting adolescents and young adults. The pathogenesis of acne involves complex interactions between the pilosebaceous unit and Cutibacterium acnes (C. acnes) bacteria, leading to the formation of comedones, papules, pustules, and nodules. Recent research has highlighted the significant role of microRNAs (miRNAs) in regulating various biological processes involved in acne development, including sebaceous gland function, inflammatory responses, and bacterial infections. miRNAs are small, non-coding RNA molecules that modulate gene expression and play crucial roles in cellular processes. Understanding the involvement of miRNAs in acne pathogenesis offers potential new avenues for therapeutic interventions aimed at mitigating this common skin condition [1].</w:t>
      </w:r>
    </w:p>
    <w:p w14:paraId="672DE043">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lang w:val="en-US" w:eastAsia="zh-CN"/>
        </w:rPr>
        <w:t xml:space="preserve">3.1 </w:t>
      </w:r>
      <w:r>
        <w:rPr>
          <w:rFonts w:hint="eastAsia" w:ascii="Times New Roman" w:hAnsi="Times New Roman" w:eastAsia="宋体"/>
          <w:b/>
          <w:sz w:val="20"/>
          <w:szCs w:val="18"/>
        </w:rPr>
        <w:t>Regulation of Sebaceous Gland Function</w:t>
      </w:r>
    </w:p>
    <w:p w14:paraId="66014F31">
      <w:pPr>
        <w:rPr>
          <w:rFonts w:hint="eastAsia" w:ascii="Times New Roman" w:hAnsi="Times New Roman" w:eastAsia="宋体"/>
          <w:sz w:val="20"/>
          <w:szCs w:val="20"/>
        </w:rPr>
      </w:pPr>
      <w:r>
        <w:rPr>
          <w:rFonts w:hint="eastAsia" w:ascii="Times New Roman" w:hAnsi="Times New Roman" w:eastAsia="宋体"/>
          <w:sz w:val="20"/>
          <w:szCs w:val="20"/>
        </w:rPr>
        <w:t>The sebaceous glands are integral to the development of acne, as they produce sebum, which can contribute to the obstruction of hair follicles. Recent studies have shown that specific miRNAs, such as miR-146a, play a pivotal role in regulating sebocyte function and lipid production. miR-146a is significantly induced in sebocytes upon activation of Toll-like receptors (TLRs), which are crucial for the inflammatory response. This miRNA modulates the secretion of inflammatory cytokines, such as IL-8, and influences sebocyte proliferation and lipid synthesis. By regulating these processes, miR-146a helps maintain sebaceous gland homeostasis and may contribute to the pathogenesis of acne when dysregulated. Additionally, the interplay between miRNAs and signaling pathways, such as the mTOR pathway, further underscores their importance in sebaceous gland function and acne development [14][15].</w:t>
      </w:r>
    </w:p>
    <w:p w14:paraId="1B6790B7">
      <w:pPr>
        <w:rPr>
          <w:rFonts w:hint="eastAsia" w:ascii="Times New Roman" w:hAnsi="Times New Roman" w:eastAsia="宋体"/>
          <w:sz w:val="20"/>
          <w:szCs w:val="20"/>
        </w:rPr>
      </w:pPr>
    </w:p>
    <w:p w14:paraId="5B47F75F">
      <w:pPr>
        <w:rPr>
          <w:rFonts w:ascii="Times New Roman" w:hAnsi="Times New Roman" w:eastAsia="宋体"/>
          <w:b/>
          <w:sz w:val="20"/>
          <w:szCs w:val="18"/>
        </w:rPr>
      </w:pPr>
      <w:r>
        <w:rPr>
          <w:rFonts w:hint="eastAsia" w:ascii="Times New Roman" w:hAnsi="Times New Roman" w:eastAsia="宋体"/>
          <w:b/>
          <w:sz w:val="20"/>
          <w:szCs w:val="18"/>
          <w:lang w:val="en-US" w:eastAsia="zh-CN"/>
        </w:rPr>
        <w:t xml:space="preserve">3.2 </w:t>
      </w:r>
      <w:r>
        <w:rPr>
          <w:rFonts w:hint="eastAsia" w:ascii="Times New Roman" w:hAnsi="Times New Roman" w:eastAsia="宋体"/>
          <w:b/>
          <w:sz w:val="20"/>
          <w:szCs w:val="18"/>
        </w:rPr>
        <w:t>Regulation of Inflammatory Responses</w:t>
      </w:r>
    </w:p>
    <w:p w14:paraId="72E9D8EA">
      <w:pPr>
        <w:rPr>
          <w:rFonts w:ascii="Times New Roman" w:hAnsi="Times New Roman" w:eastAsia="宋体"/>
          <w:sz w:val="20"/>
          <w:szCs w:val="20"/>
        </w:rPr>
      </w:pPr>
      <w:r>
        <w:rPr>
          <w:rFonts w:hint="eastAsia" w:ascii="Times New Roman" w:hAnsi="Times New Roman" w:eastAsia="宋体"/>
          <w:sz w:val="20"/>
          <w:szCs w:val="20"/>
        </w:rPr>
        <w:t>Inflammation is a central feature of acne vulgaris, and miRNAs are key regulators of inflammatory pathways. For instance, miR-21 and miR-155 have been implicated in the modulation of the immune response in acne. These miRNAs can regulate the expression of pro-inflammatory cytokines and influence the activation of immune cells, thereby exacerbating the inflammatory milieu associated with acne lesions. Furthermore, miR-146a has been shown to downregulate inflammatory responses in sebocytes, indicating a complex regulatory network where miRNAs can either promote or inhibit inflammation. The dysregulation of these miRNAs may lead to an exaggerated inflammatory response, contributing to the severity of acne. Understanding how miRNAs interact with inflammatory pathways can provide insights into novel therapeutic strategies aimed at reducing inflammation in acne patients [2][15].</w:t>
      </w:r>
    </w:p>
    <w:p w14:paraId="10338E4F">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3.3 Impact of Bacterial Infections</w:t>
      </w:r>
    </w:p>
    <w:p w14:paraId="4AEEC6D0">
      <w:pPr>
        <w:numPr>
          <w:ilvl w:val="0"/>
          <w:numId w:val="0"/>
        </w:numPr>
        <w:spacing w:before="156" w:beforeLines="50" w:after="156" w:afterLines="50"/>
        <w:rPr>
          <w:rFonts w:hint="eastAsia" w:ascii="Times New Roman" w:hAnsi="Times New Roman" w:eastAsia="宋体"/>
          <w:sz w:val="20"/>
          <w:szCs w:val="20"/>
        </w:rPr>
      </w:pPr>
      <w:r>
        <w:rPr>
          <w:rFonts w:hint="eastAsia" w:ascii="Times New Roman" w:hAnsi="Times New Roman" w:eastAsia="宋体" w:cstheme="minorBidi"/>
          <w:i/>
          <w:iCs/>
          <w:kern w:val="2"/>
          <w:sz w:val="20"/>
          <w:szCs w:val="20"/>
          <w:lang w:val="en-US" w:eastAsia="zh-CN" w:bidi="ar-SA"/>
        </w:rPr>
        <w:t xml:space="preserve">C. </w:t>
      </w:r>
      <w:r>
        <w:rPr>
          <w:rFonts w:hint="eastAsia" w:ascii="Times New Roman" w:hAnsi="Times New Roman" w:eastAsia="宋体"/>
          <w:i/>
          <w:iCs/>
          <w:sz w:val="20"/>
          <w:szCs w:val="20"/>
        </w:rPr>
        <w:t>acnes</w:t>
      </w:r>
      <w:r>
        <w:rPr>
          <w:rFonts w:hint="eastAsia" w:ascii="Times New Roman" w:hAnsi="Times New Roman" w:eastAsia="宋体"/>
          <w:sz w:val="20"/>
          <w:szCs w:val="20"/>
        </w:rPr>
        <w:t>, a commensal bacterium, plays a significant role in the pathogenesis of acne by inducing inflammatory responses in the skin. miRNAs are involved in the host's response to bacterial infections, influencing both the immune response and bacterial proliferation. For example, miR-146a has been shown to modulate the inflammatory response triggered by C. acnes through its interactions with TLR signaling pathways. This regulation can affect the expression of various inflammatory mediators, thereby influencing the overall inflammatory response in acne. Additionally, other miRNAs, such as miR-155, have been associated with the modulation of innate immune responses during bacterial infections, which can further complicate acne pathogenesis. The interplay between miRNAs and bacterial infections highlights the potential for targeting these molecules to develop new therapeutic approaches for acne treatment [1][15].</w:t>
      </w:r>
    </w:p>
    <w:p w14:paraId="529926B5">
      <w:pPr>
        <w:numPr>
          <w:ilvl w:val="0"/>
          <w:numId w:val="0"/>
        </w:num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4 microRNA and Acne-Related Signaling Pathways</w:t>
      </w:r>
    </w:p>
    <w:p w14:paraId="684AE4A8">
      <w:pPr>
        <w:spacing w:before="156" w:beforeLines="50" w:after="156" w:afterLines="50"/>
        <w:rPr>
          <w:rFonts w:hint="eastAsia" w:ascii="Times New Roman" w:hAnsi="Times New Roman" w:eastAsia="宋体"/>
          <w:sz w:val="20"/>
          <w:szCs w:val="20"/>
        </w:rPr>
      </w:pPr>
      <w:r>
        <w:rPr>
          <w:rFonts w:hint="eastAsia" w:ascii="Times New Roman" w:hAnsi="Times New Roman" w:eastAsia="宋体"/>
          <w:sz w:val="20"/>
          <w:szCs w:val="20"/>
        </w:rPr>
        <w:t>MicroRNAs (miRNAs) play a crucial role in the regulation of gene expression and are increasingly recognized for their involvement in various skin disorders, including acne vulgaris. Acne is characterized by inflammation, hyperseborrhea, and the presence of Cutibacterium acnes (C. acnes), which triggers inflammatory responses. Understanding the signaling pathways influenced by miRNAs can provide insights into the pathogenesis of acne and potential therapeutic targets.</w:t>
      </w:r>
    </w:p>
    <w:p w14:paraId="2E619314">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4.1 Wnt/β-catenin Pathway</w:t>
      </w:r>
    </w:p>
    <w:p w14:paraId="70544100">
      <w:pPr>
        <w:rPr>
          <w:rFonts w:ascii="Times New Roman" w:hAnsi="Times New Roman" w:eastAsia="宋体"/>
          <w:sz w:val="20"/>
          <w:szCs w:val="20"/>
        </w:rPr>
      </w:pPr>
      <w:r>
        <w:rPr>
          <w:rFonts w:hint="default" w:ascii="Times New Roman" w:hAnsi="Times New Roman" w:eastAsia="宋体" w:cs="Times New Roman"/>
          <w:sz w:val="20"/>
          <w:szCs w:val="20"/>
        </w:rPr>
        <w:t>The Wnt/β-catenin signaling pathway is essential in regulating various cellular processes, including cell proliferation, differentiation, and</w:t>
      </w:r>
      <w:r>
        <w:rPr>
          <w:rFonts w:hint="eastAsia" w:ascii="Times New Roman" w:hAnsi="Times New Roman" w:eastAsia="宋体"/>
          <w:sz w:val="20"/>
          <w:szCs w:val="20"/>
        </w:rPr>
        <w:t xml:space="preserve"> inflammation. Recent studies have indicated that this pathway is significantly implicated in the pathogenesis of acne vulgaris. Activation of the Wnt/β-catenin pathway has been shown to enhance sebocyte proliferation and lipid production, contributing to the formation of acne lesions. For instance, 5-aminolevulinic acid photodynamic therapy (ALA-PDT) has been demonstrated to modulate the Wnt/β-catenin pathway, reducing lipogenesis in sebocytes and potentially offering a novel therapeutic approach for acne management [16]. Furthermore, specific miRNAs, such as miR-21, have been found to interact with components of the Wnt signaling pathway, influencing sebaceous gland activity and the inflammatory response associated with acne [14]. Understanding the intricate relationships between miRNAs and the Wnt/β-catenin pathway could lead to targeted therapies that mitigate acne's inflammatory and hyperseborrheic features.</w:t>
      </w:r>
    </w:p>
    <w:p w14:paraId="6B4E9BED">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4.2 NF-κB Pathway</w:t>
      </w:r>
    </w:p>
    <w:p w14:paraId="41C0C7E9">
      <w:pPr>
        <w:rPr>
          <w:rFonts w:hint="default" w:ascii="Times New Roman" w:hAnsi="Times New Roman" w:eastAsia="宋体" w:cs="Times New Roman"/>
          <w:sz w:val="20"/>
          <w:szCs w:val="20"/>
        </w:rPr>
      </w:pPr>
      <w:r>
        <w:rPr>
          <w:rFonts w:hint="default" w:ascii="Times New Roman" w:hAnsi="Times New Roman" w:eastAsia="宋体" w:cs="Times New Roman"/>
          <w:sz w:val="20"/>
          <w:szCs w:val="20"/>
        </w:rPr>
        <w:t>The nuclear factor kappa-light-chain-enhancer of activated B cells (NF-κB) pathway is a critical regulator of inflammation and immune responses. In the context of acne vulgaris, NF-κB is activated by C. acnes, leading to the production of pro-inflammatory cytokines such as IL-1β, IL-6, and TNF-α, which exacerbate the inflammatory process [17]. miRNAs, including miR-146a, have been shown to modulate NF-κB signaling, thereby influencing the inflammatory response in acne. For example, miR-146a can inhibit the expression of IRAK1 and TRAF6, which are crucial for NF-κB activation, thereby reducing the inflammatory cytokine production triggered by C. acnes [18]. Additionally, therapeutic agents targeting the NF-κB pathway, such as peiminine and gedunin, have demonstrated efficacy in suppressing inflammation in acne models by inhibiting NF-κB activation. This highlights the potential of targeting miRNAs and the NF-κB pathway as a strategy for developing anti-acne treatments.</w:t>
      </w:r>
    </w:p>
    <w:p w14:paraId="1BC21661">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4.3 mTOR Signaling Pathway</w:t>
      </w:r>
    </w:p>
    <w:p w14:paraId="7FE14DD1">
      <w:pPr>
        <w:rPr>
          <w:rFonts w:hint="eastAsia" w:ascii="Times New Roman" w:hAnsi="Times New Roman" w:eastAsia="宋体"/>
          <w:sz w:val="20"/>
          <w:szCs w:val="20"/>
        </w:rPr>
      </w:pPr>
      <w:r>
        <w:rPr>
          <w:rFonts w:hint="eastAsia" w:ascii="Times New Roman" w:hAnsi="Times New Roman" w:eastAsia="宋体"/>
          <w:sz w:val="20"/>
          <w:szCs w:val="20"/>
        </w:rPr>
        <w:t>The mechanistic target of rapamycin (mTOR) signaling pathway is pivotal in regulating cellular growth, metabolism, and inflammation. Dysregulation of the mTOR pathway has been implicated in the pathogenesis of acne vulgaris, particularly in relation to sebocyte proliferation and lipid production. Studies have shown that mTORC1 signaling is activated in acne patients, leading to increased sebum production and inflammation [14]. miRNAs such as miR-21 and miR-29b have been identified as key regulators of the mTOR pathway, influencing the inflammatory processes in acne [19]. Furthermore, interventions targeting the mTOR pathway, such as the use of rapamycin, have shown promise in reducing acne severity by inhibiting sebaceous gland activity and inflammation [20]. This suggests that the mTOR pathway, in conjunction with specific miRNAs, represents a significant therapeutic target for acne vulgaris, providing a potential avenue for developing effective treatments.</w:t>
      </w:r>
    </w:p>
    <w:p w14:paraId="613FE61D">
      <w:pPr>
        <w:spacing w:before="156" w:beforeLines="50" w:after="156" w:afterLines="50"/>
        <w:rPr>
          <w:rFonts w:hint="eastAsia" w:ascii="Times New Roman" w:hAnsi="Times New Roman" w:eastAsia="宋体"/>
          <w:b/>
          <w:sz w:val="20"/>
          <w:szCs w:val="18"/>
        </w:rPr>
      </w:pPr>
      <w:r>
        <w:rPr>
          <w:rFonts w:hint="eastAsia" w:ascii="Times New Roman" w:hAnsi="Times New Roman" w:eastAsia="宋体"/>
          <w:b/>
          <w:sz w:val="20"/>
          <w:szCs w:val="18"/>
        </w:rPr>
        <w:t>5 Acne Treatment Strategies Based on microRNA</w:t>
      </w:r>
    </w:p>
    <w:p w14:paraId="2E75067B">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5.1 The Potential of microRNA as Biomarkers</w:t>
      </w:r>
    </w:p>
    <w:p w14:paraId="1B33DD6A">
      <w:pPr>
        <w:rPr>
          <w:rFonts w:hint="eastAsia" w:ascii="Times New Roman" w:hAnsi="Times New Roman" w:eastAsia="宋体"/>
          <w:sz w:val="20"/>
          <w:szCs w:val="20"/>
        </w:rPr>
      </w:pPr>
      <w:r>
        <w:rPr>
          <w:rFonts w:hint="eastAsia" w:ascii="Times New Roman" w:hAnsi="Times New Roman" w:eastAsia="宋体"/>
          <w:sz w:val="20"/>
          <w:szCs w:val="20"/>
        </w:rPr>
        <w:t>MicroRNAs (miRNAs) have emerged as promising biomarkers in the diagnosis and treatment of various diseases, including acne vulgaris. These small, non-coding RNA molecules play a crucial role in the regulation of gene expression and have been shown to exhibit differential expression patterns in pathological conditions. In the context of acne, specific miRNAs such as miR-21, miR-150, and miR-223 have been identified as significantly overexpressed in acne lesions and even in clinically unaffected skin of patients prone to scarring [3]. This suggests that miRNAs could serve as reliable biomarkers for predicting the severity of acne and the risk of developing complications such as atrophic scarring. Furthermore, the identification of miRNA signatures associated with acne can facilitate the development of targeted therapies that address the underlying molecular mechanisms of the disease. For instance, miR-146a-5p has been implicated in inflammatory pathways associated with acne, highlighting its potential as a therapeutic target [1]. As research continues to uncover the complex roles of miRNAs in acne pathogenesis, their utility as biomarkers for early diagnosis and personalized treatment approaches is becoming increasingly evident.</w:t>
      </w:r>
    </w:p>
    <w:p w14:paraId="78C264BF">
      <w:pPr>
        <w:rPr>
          <w:rFonts w:hint="eastAsia" w:ascii="Times New Roman" w:hAnsi="Times New Roman" w:eastAsia="宋体"/>
          <w:sz w:val="20"/>
          <w:szCs w:val="20"/>
        </w:rPr>
      </w:pPr>
    </w:p>
    <w:p w14:paraId="295BC4BD">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5.2 Research Progress on miRNA Targeted Therapy</w:t>
      </w:r>
    </w:p>
    <w:p w14:paraId="06987EE7">
      <w:pPr>
        <w:rPr>
          <w:rFonts w:hint="eastAsia" w:ascii="Times New Roman" w:hAnsi="Times New Roman" w:eastAsia="宋体"/>
          <w:sz w:val="20"/>
          <w:szCs w:val="20"/>
        </w:rPr>
      </w:pPr>
      <w:r>
        <w:rPr>
          <w:rFonts w:hint="eastAsia" w:ascii="Times New Roman" w:hAnsi="Times New Roman" w:eastAsia="宋体"/>
          <w:sz w:val="20"/>
          <w:szCs w:val="20"/>
        </w:rPr>
        <w:t>The exploration of miRNA-targeted therapies for acne treatment is gaining momentum, driven by the need for more effective and personalized treatment options. Recent studies have highlighted the therapeutic potential of modulating specific miRNAs involved in acne pathogenesis. For example, miR-146a-5p has been shown to play a significant role in the inflammatory response mediated by Cutibacterium acnes, a key player in acne development [1]. By targeting this miRNA, it may be possible to reduce inflammation and improve clinical outcomes for patients suffering from acne. Additionally, the development of novel drug delivery systems, such as liposomes and nanosystems, allows for the co-encapsulation of miRNA-based therapies with conventional acne treatments, enhancing their efficacy and reducing potential side effects [12]. The integration of miRNA modulation into existing treatment regimens could lead to synergistic effects, improving overall therapeutic outcomes. As clinical trials continue to investigate the safety and efficacy of these approaches, the future of miRNA-targeted therapy in acne treatment appears promising, potentially transforming the management of this common skin disorder.</w:t>
      </w:r>
    </w:p>
    <w:p w14:paraId="59BB9B01">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5.3 Comprehensive Treatment Plans Combining Traditional Therapies</w:t>
      </w:r>
    </w:p>
    <w:p w14:paraId="2721C70A">
      <w:pPr>
        <w:rPr>
          <w:rFonts w:hint="eastAsia" w:ascii="Times New Roman" w:hAnsi="Times New Roman" w:eastAsia="宋体"/>
          <w:sz w:val="20"/>
          <w:szCs w:val="20"/>
        </w:rPr>
      </w:pPr>
      <w:r>
        <w:rPr>
          <w:rFonts w:hint="eastAsia" w:ascii="Times New Roman" w:hAnsi="Times New Roman" w:eastAsia="宋体"/>
          <w:sz w:val="20"/>
          <w:szCs w:val="20"/>
        </w:rPr>
        <w:t>The integration of miRNA-based therapies with traditional acne treatments represents a novel and comprehensive approach to managing acne vulgaris. Traditional therapies, such as topical retinoids and antibiotics, have long been the mainstay of acne treatment; however, their limitations, including resistance and side effects, necessitate the exploration of adjunctive therapies. By incorporating miRNA modulation into these established treatment protocols, healthcare providers can potentially enhance the efficacy of existing therapies while mitigating adverse effects. For instance, combining miRNA-targeted treatments with topical agents like benzoyl peroxide or adapalene may lead to improved anti-inflammatory effects and better control of acne lesions [12]. Furthermore, the use of combination therapies can address the multifactorial nature of acne, targeting both the inflammatory components and the underlying genetic predispositions. As research progresses, the development of comprehensive treatment plans that leverage the strengths of both traditional and innovative therapies will be crucial in optimizing acne management and improving patient quality of life. The potential for personalized medicine, where treatments are tailored to individual miRNA profiles, could revolutionize the approach to acne treatment in the near future.</w:t>
      </w:r>
    </w:p>
    <w:p w14:paraId="2E3A8022">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6 Future Research Directions and Challenges</w:t>
      </w:r>
    </w:p>
    <w:p w14:paraId="21DAFC81">
      <w:pPr>
        <w:spacing w:before="156" w:beforeLines="50" w:after="156" w:afterLines="50"/>
        <w:rPr>
          <w:rFonts w:hint="eastAsia" w:ascii="Times New Roman" w:hAnsi="Times New Roman" w:eastAsia="宋体"/>
          <w:sz w:val="20"/>
          <w:szCs w:val="20"/>
        </w:rPr>
      </w:pPr>
      <w:r>
        <w:rPr>
          <w:rFonts w:hint="eastAsia" w:ascii="Times New Roman" w:hAnsi="Times New Roman" w:eastAsia="宋体"/>
          <w:sz w:val="20"/>
          <w:szCs w:val="20"/>
        </w:rPr>
        <w:t>The field of microRNA (miRNA) research is rapidly evolving, with significant potential for clinical applications and therapeutic interventions. However, several challenges and future research directions need to be addressed to fully realize the benefits of miRNAs in medicine. This section outlines key areas for future exploration, focusing on the specificity and safety of miRNAs, the prospects and barriers to clinical applications, and additional research domains that warrant further investigation.</w:t>
      </w:r>
    </w:p>
    <w:p w14:paraId="7EE1C6DE">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6.1 Specificity and Safety Issues of microRNAs</w:t>
      </w:r>
    </w:p>
    <w:p w14:paraId="3B03629F">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One of the foremost challenges in the application of microRNAs in clinical settings is ensuring their specificity and safety. miRNAs are known to regulate a multitude of target genes, which can lead to unintended consequences if not carefully controlled. The off-target effects of miRNAs can result in adverse reactions, complicating their therapeutic use. For instance, the dysregulation of miR-21, a well-studied miRNA, has been implicated in various cancers, suggesting that its modulation must be approached with caution to avoid exacerbating tumorigenesis [21]. Furthermore, the delivery mechanisms of miRNA therapeutics, such as viral vectors or nanoparticles, must be optimized to enhance specificity while minimizing immune responses and toxicity. Research is ongoing to develop more precise delivery systems that can target specific tissues or cells, thus improving the therapeutic index of miRNA-based treatments. The establishment of robust safety profiles through extensive preclinical and clinical trials is essential to address these concerns and to build confidence in the use of miRNAs as therapeutic agents [22].</w:t>
      </w:r>
    </w:p>
    <w:p w14:paraId="55B2F34D">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6.2 Prospects and Barriers to Clinical Applications</w:t>
      </w:r>
    </w:p>
    <w:p w14:paraId="4288F029">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The clinical application of microRNAs holds great promise, particularly in areas such as oncology, cardiovascular diseases, and metabolic disorders. miRNAs can serve as biomarkers for disease diagnosis, prognosis, and treatment response, offering a non-invasive approach to patient management. However, several barriers hinder their widespread adoption in clinical practice. One significant challenge is the regulatory landscape surrounding miRNA therapeutics, which remains underdeveloped compared to conventional drug development pathways. The need for standardized methodologies for miRNA isolation, quantification, and functional validation is critical for ensuring reproducibility and reliability in clinical settings [1]. Additionally, the variability in miRNA expression profiles among different populations and disease states complicates the establishment of universal diagnostic criteria. Future research must focus on overcoming these barriers by developing consensus guidelines and exploring the integration of miRNA-based diagnostics into existing clinical workflows to enhance their utility in personalized medicine [4].</w:t>
      </w:r>
    </w:p>
    <w:p w14:paraId="3A7CC023">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6.3 Research Areas Needing Further Exploration</w:t>
      </w:r>
    </w:p>
    <w:p w14:paraId="05259CB2">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Several emerging research areas present opportunities for advancing the understanding and application of microRNAs. One promising avenue is the exploration of the role of extracellular vesicles (EVs) in miRNA transport and their potential as therapeutic vehicles. EVs can protect miRNAs from degradation and facilitate their delivery to target cells, thus enhancing the efficacy of miRNA-based therapies [23]. Additionally, the interplay between miRNAs and long non-coding RNAs (lncRNAs) in regulating gene expression networks is an area ripe for investigation, as these interactions may provide insights into complex disease mechanisms and therapeutic targets [6]. Furthermore, the potential of miRNAs in modulating the immune response and their application in immunotherapy for cancer treatment is an exciting frontier that warrants further study. By addressing these research gaps, the scientific community can unlock the full potential of microRNAs in clinical applications and pave the way for innovative therapeutic strategies [9].</w:t>
      </w:r>
    </w:p>
    <w:p w14:paraId="0FC14569">
      <w:pPr>
        <w:spacing w:before="156" w:beforeLines="50" w:after="156" w:afterLines="50"/>
        <w:rPr>
          <w:rFonts w:ascii="Times New Roman" w:hAnsi="Times New Roman" w:eastAsia="宋体"/>
          <w:b/>
          <w:sz w:val="20"/>
          <w:szCs w:val="18"/>
        </w:rPr>
      </w:pPr>
      <w:r>
        <w:rPr>
          <w:rFonts w:hint="eastAsia" w:ascii="Times New Roman" w:hAnsi="Times New Roman" w:eastAsia="宋体"/>
          <w:b/>
          <w:sz w:val="20"/>
          <w:szCs w:val="18"/>
        </w:rPr>
        <w:t>7 Conclusion</w:t>
      </w:r>
    </w:p>
    <w:p w14:paraId="11EB6B96">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The role of microRNAs in the pathogenesis of acne has garnered increasing attention, positioning them as pivotal players in the disease's development. This review has highlighted the regulatory functions of microRNAs, which not only enhance our understanding of acne's biological mechanisms but also pave the way for innovative therapeutic strategies. The potential for microRNA-based treatments presents a promising frontier in acne management, offering a novel approach that could transform clinical practices.</w:t>
      </w:r>
    </w:p>
    <w:p w14:paraId="1997DED5">
      <w:pPr>
        <w:rPr>
          <w:rFonts w:hint="eastAsia" w:ascii="Times New Roman" w:hAnsi="Times New Roman" w:eastAsia="宋体"/>
          <w:sz w:val="20"/>
          <w:szCs w:val="20"/>
          <w:lang w:val="en-US" w:eastAsia="zh-CN"/>
        </w:rPr>
      </w:pPr>
    </w:p>
    <w:p w14:paraId="5A784B32">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However, despite the encouraging findings surrounding microRNAs, challenges remain that must be addressed to harness their full therapeutic potential effectively. Key among these challenges are issues surrounding specificity and safety. The precise targeting of microRNAs is crucial; off-target effects could lead to unintended consequences, thus underscoring the importance of developing robust delivery mechanisms and fine-tuning the specificity of these treatments. Additionally, comprehensive safety assessments are essential to ensure that microRNA-based therapies do not elicit adverse effects in patients.</w:t>
      </w:r>
    </w:p>
    <w:p w14:paraId="0D423CB3">
      <w:pPr>
        <w:rPr>
          <w:rFonts w:hint="eastAsia" w:ascii="Times New Roman" w:hAnsi="Times New Roman" w:eastAsia="宋体"/>
          <w:sz w:val="20"/>
          <w:szCs w:val="20"/>
          <w:lang w:val="en-US" w:eastAsia="zh-CN"/>
        </w:rPr>
      </w:pPr>
    </w:p>
    <w:p w14:paraId="001D0521">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Future research should focus on elucidating the complex interactions between microRNAs and other molecular pathways involved in acne. By employing a multi-faceted research approach that integrates various perspectives—from molecular biology to clinical applications—scientists and clinicians can better understand how microRNAs mediate inflammatory responses and sebaceous gland activity in acne. This holistic understanding will be vital in balancing the diverse findings and perspectives within the field.</w:t>
      </w:r>
    </w:p>
    <w:p w14:paraId="69EAE322">
      <w:pPr>
        <w:rPr>
          <w:rFonts w:hint="eastAsia" w:ascii="Times New Roman" w:hAnsi="Times New Roman" w:eastAsia="宋体"/>
          <w:sz w:val="20"/>
          <w:szCs w:val="20"/>
          <w:lang w:val="en-US" w:eastAsia="zh-CN"/>
        </w:rPr>
      </w:pPr>
    </w:p>
    <w:p w14:paraId="05024555">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Furthermore, clinical trials will be crucial in translating these discoveries into effective treatments. Establishing clear therapeutic protocols based on microRNA modulation will require collaboration across disciplines, including dermatology, molecular medicine, and pharmacology. By fostering a collaborative research environment, we can advance our knowledge and optimize the development of microRNA-based therapies, ensuring they meet clinical needs while adhering to safety standards.</w:t>
      </w:r>
    </w:p>
    <w:p w14:paraId="06BB39C6">
      <w:pPr>
        <w:rPr>
          <w:rFonts w:hint="eastAsia" w:ascii="Times New Roman" w:hAnsi="Times New Roman" w:eastAsia="宋体"/>
          <w:sz w:val="20"/>
          <w:szCs w:val="20"/>
          <w:lang w:val="en-US" w:eastAsia="zh-CN"/>
        </w:rPr>
      </w:pPr>
    </w:p>
    <w:p w14:paraId="22919793">
      <w:pPr>
        <w:rPr>
          <w:rFonts w:hint="eastAsia" w:ascii="Times New Roman" w:hAnsi="Times New Roman" w:eastAsia="宋体"/>
          <w:sz w:val="20"/>
          <w:szCs w:val="20"/>
          <w:lang w:val="en-US" w:eastAsia="zh-CN"/>
        </w:rPr>
      </w:pPr>
      <w:r>
        <w:rPr>
          <w:rFonts w:hint="eastAsia" w:ascii="Times New Roman" w:hAnsi="Times New Roman" w:eastAsia="宋体"/>
          <w:sz w:val="20"/>
          <w:szCs w:val="20"/>
          <w:lang w:val="en-US" w:eastAsia="zh-CN"/>
        </w:rPr>
        <w:t>In conclusion, while the potential of microRNAs in acne treatment is undeniable, realizing this potential will depend on overcoming existing challenges and balancing various research findings. As we move forward, continuous exploration and innovation will be key in establishing microRNA-based therapies as a mainstay in the management of acne, ultimately leading to improved outcomes for patients and a deeper understanding of the disease's underlying mechanisms.</w:t>
      </w:r>
    </w:p>
    <w:p w14:paraId="407A453D">
      <w:pPr>
        <w:rPr>
          <w:rFonts w:ascii="Times New Roman" w:hAnsi="Times New Roman" w:eastAsia="宋体" w:cs="Times New Roman"/>
          <w:sz w:val="20"/>
          <w:szCs w:val="20"/>
        </w:rPr>
      </w:pPr>
    </w:p>
    <w:p w14:paraId="372D126F">
      <w:pPr>
        <w:widowControl/>
        <w:jc w:val="left"/>
        <w:rPr>
          <w:rFonts w:ascii="Times New Roman" w:hAnsi="Times New Roman" w:eastAsia="宋体" w:cs="Times New Roman"/>
          <w:b/>
          <w:sz w:val="24"/>
        </w:rPr>
      </w:pPr>
      <w:r>
        <w:rPr>
          <w:rFonts w:ascii="Times New Roman" w:hAnsi="Times New Roman" w:eastAsia="宋体" w:cs="Times New Roman"/>
          <w:b/>
          <w:sz w:val="24"/>
        </w:rPr>
        <w:t>References</w:t>
      </w:r>
    </w:p>
    <w:p w14:paraId="0CDB34F7">
      <w:pPr>
        <w:pStyle w:val="9"/>
        <w:ind w:left="360" w:hanging="360" w:hangingChars="200"/>
        <w:rPr>
          <w:rFonts w:ascii="Times New Roman" w:hAnsi="Times New Roman" w:cs="Times New Roman"/>
          <w:sz w:val="18"/>
          <w:szCs w:val="18"/>
        </w:rPr>
      </w:pPr>
      <w:r>
        <w:rPr>
          <w:rFonts w:hint="eastAsia" w:ascii="Times New Roman" w:hAnsi="Times New Roman" w:cs="Times New Roman"/>
          <w:sz w:val="18"/>
          <w:szCs w:val="18"/>
        </w:rPr>
        <w:t>[1] Gordon S, Layton AM, Fawcett S, Ross K. A microRNA focus on acne. Dermatol Reports. 2024;16(2):9902. Published 2024 Jun 14. doi:10.4081/dr.2024.9902 https://pubmed.ncbi.nlm.nih.gov/38957637/</w:t>
      </w:r>
    </w:p>
    <w:p w14:paraId="78E74126">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[2] Borgia F, Peterle L, Custurone P, Vaccaro M, Pioggia G, Gangemi S. MicroRNA Cross-Involvement in Acne Vulgaris and Hidradenitis Suppurativa: A Literature Review. Int J Mol Sci. 2022;23(6). Published 2022 Mar 17. doi:10.3390/ijms23063241 https://pubmed.ncbi.nlm.nih.gov/35328662/</w:t>
      </w:r>
    </w:p>
    <w:p w14:paraId="3804299E">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[3] Ghumra W, Lee N, Whitehouse H, Bhutani R, Lagos D, Layton AM. MicroRNAs as biomarkers of atrophic scarring in acne: a cross-sectional analysis of 41 patients. Clin Exp Dermatol. 2021;46(8):1495-1503. doi:10.1111/ced.14792 https://pubmed.ncbi.nlm.nih.gov/34101224/</w:t>
      </w:r>
    </w:p>
    <w:p w14:paraId="7163FD3D">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[4] Guo YT, Xiao YC, Xu YL, et al. The Effects of MicroRNAs in the Development of Heart Failure. Curr Cardiol Rep. 2023;25(7):747-759. doi:10.1007/s11886-023-01895-6 https://pubmed.ncbi.nlm.nih.gov/37233923/</w:t>
      </w:r>
    </w:p>
    <w:p w14:paraId="40801935">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[5] Lisan Q, Marques-Vidal P, Hausler N, et al. Obstructive sleep apnea, circulating microRNAs, and risk of cardiovascular disease. Sleep Med. 109:1-3. doi:10.1016/j.sleep.2023.06.006 https://pubmed.ncbi.nlm.nih.gov/37354730/</w:t>
      </w:r>
    </w:p>
    <w:p w14:paraId="54E81145">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[6] De Felice B, De Luca P, Montanino C, et al. LncRNA microarray profiling identifies novel circulating lncRNAs in hidradenitis suppurativa. Mol Med Rep. 2024;30(1). doi:10.3892/mmr.2024.13236 https://pubmed.ncbi.nlm.nih.gov/38757342/</w:t>
      </w:r>
    </w:p>
    <w:p w14:paraId="7A8C737B">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[7] Geiger L, Orsi G, Cseh T, Gombos K, Illés Z, Czéh B. Circulating microRNAs correlate with structural and functional MRI parameters in patients with multiple sclerosis. Front Mol Neurosci. 16:1173212. Published 2023 None. doi:10.3389/fnmol.2023.1173212 https://pubmed.ncbi.nlm.nih.gov/37881368/</w:t>
      </w:r>
    </w:p>
    <w:p w14:paraId="7142B174">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[8] Ambros V. MicroRNA-mediated gene regulation and the resilience of multicellular animals. Postepy Biochem. 2024;70(1):62-70. Published 2024 May 23. doi:10.18388/pb.2021_515 https://pubmed.ncbi.nlm.nih.gov/39016233/</w:t>
      </w:r>
    </w:p>
    <w:p w14:paraId="683E0CE7">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[9] Soleimani M, Kollmannsberger C, Nappi L. Emerging Role of Biomarkers in Testicular Germ Cell Tumors. Curr Oncol Rep. 2022;24(4):437-442. doi:10.1007/s11912-022-01231-1 https://pubmed.ncbi.nlm.nih.gov/35142973/</w:t>
      </w:r>
    </w:p>
    <w:p w14:paraId="0A83E720">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[10] Han SJ, Kim SK, Hong SM. Next-generation Sequencing of MicroRNA in Acquired Middle Ear Cholesteatoma. Laryngoscope. 2024;134(10):4374-4382. doi:10.1002/lary.31507 https://pubmed.ncbi.nlm.nih.gov/38775212/</w:t>
      </w:r>
    </w:p>
    <w:p w14:paraId="2D80DB24">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[11] Vellaichamy G, Kohli I, Zubair R, et al. An in vivo model of postinflammatory hyperpigmentation and erythema: clinical, colorimetric and molecular characteristics. Br J Dermatol. 2022;186(3):508-519. doi:10.1111/bjd.20804 https://pubmed.ncbi.nlm.nih.gov/34625951/</w:t>
      </w:r>
    </w:p>
    <w:p w14:paraId="5253A4F0">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[12] Rodrigues S, Veiga F, Paiva-Santos AC, Pires PC. Dual drug co-encapsulation into liposomes and liposome-derived nanosystems for improved synergistic treatment of skin diseases. Drug Deliv Transl Res. . Published online Nov 17,2025. doi:10.1007/s13346-025-02016-2 https://pubmed.ncbi.nlm.nih.gov/41247420/</w:t>
      </w:r>
    </w:p>
    <w:p w14:paraId="4D71C526">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[13] Tregub PP, Ibrahimli I, Averchuk AS, et al. The Role of microRNAs in Epigenetic Regulation of Signaling Pathways in Neurological Pathologies. Int J Mol Sci. 2023;24(16). Published 2023 Aug 17. doi:10.3390/ijms241612899 https://pubmed.ncbi.nlm.nih.gov/37629078/</w:t>
      </w:r>
    </w:p>
    <w:p w14:paraId="063E472C">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[14] Akdağ N, Atli E, Zhuri D, Sezgi Ner Güler H, Gürsel Ürün Y. A Study of FoxO1, mTOR, miR-21, miR-29b, and miR-98 Expression Levels Regarding Metabolic Syndrome in Acne Vulgaris Patients. Cureus. 2024;16(3):e56562. Published 2024 Mar. doi:10.7759/cureus.56562 https://pubmed.ncbi.nlm.nih.gov/38646331/</w:t>
      </w:r>
    </w:p>
    <w:p w14:paraId="7A8AB0A6">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[15] Dull K, Fazekas F, Deák D, et al. miR-146a modulates TLR1/2 and 4 induced inflammation and links it with proliferation and lipid production via the indirect regulation of GNG7 in human SZ95 sebocytes. Sci Rep. 2021;11(1):21510. Published 2021 Nov 2. doi:10.1038/s41598-021-00907-1 https://pubmed.ncbi.nlm.nih.gov/34728702/</w:t>
      </w:r>
    </w:p>
    <w:p w14:paraId="09FAB061">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[16] Yan J, Zhang L, Zeng Q, et al. Mechanistic insights into 5-aminolevulinic acid photodynamic therapy for acne vulgaris: targeting lipogenesis via the OLR1-Wnt/β-catenin pathway. Mol Med. 2025;31(1):41. Published 2025 Feb 4. doi:10.1186/s10020-025-01104-w https://pubmed.ncbi.nlm.nih.gov/39905294/</w:t>
      </w:r>
    </w:p>
    <w:p w14:paraId="29481F15">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[17] Sim JK, Heo YJ, Shin JH, Kim SS, Seo SR. Gedunin Mitigates &lt;i&gt;Cutibacterium acnes&lt;/i&gt;-Induced Skin Inflammation by Inhibiting the NF-κB Pathway. Pharmaceuticals (Basel). 2025;18(1). Published 2025 Jan 9. doi:10.3390/ph18010071 https://pubmed.ncbi.nlm.nih.gov/39861132/</w:t>
      </w:r>
    </w:p>
    <w:p w14:paraId="6F65DDC5">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[18] Zhao T, Zha Y, Jiang S, et al. Temporin-GHa derived peptide shows inhibitory efficacy against Cutibacterium acnes and alleviates inflammatory reactions in acne vulgaris. Int Immunopharmacol. 157:114756. doi:10.1016/j.intimp.2025.114756 https://pubmed.ncbi.nlm.nih.gov/40318277/</w:t>
      </w:r>
    </w:p>
    <w:p w14:paraId="07F0B10D">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[19] Rau CS, Kuo PJ, Hsieh CH. Adipose-derived stem cell exosomes: multifaceted therapeutic applications in regenerative medicine. Int J Surg. 2025;111(10):7099-7113. doi:10.1097/JS9.0000000000002841 https://pubmed.ncbi.nlm.nih.gov/40696930/</w:t>
      </w:r>
    </w:p>
    <w:p w14:paraId="53EC38D9">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[20] Karagianni F, Pavlidis A, Malakou LS, Piperi C, Papadavid E. Predominant Role of mTOR Signaling in Skin Diseases with Therapeutic Potential. Int J Mol Sci. 2022;23(3). Published 2022 Feb 1. doi:10.3390/ijms23031693 https://pubmed.ncbi.nlm.nih.gov/35163615/</w:t>
      </w:r>
    </w:p>
    <w:p w14:paraId="491F9DC6">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[21] Zhang L, Liao Y, Tang L. MicroRNA-34 family: a potential tumor suppressor and therapeutic candidate in cancer. J Exp Clin Cancer Res. 2019;38(1):53. Published 2019 Feb 4. doi:10.1186/s13046-019-1059-5 https://pubmed.ncbi.nlm.nih.gov/30717802/</w:t>
      </w:r>
    </w:p>
    <w:p w14:paraId="1B66D688">
      <w:pPr>
        <w:pStyle w:val="9"/>
        <w:ind w:left="360" w:hanging="360" w:hangingChars="200"/>
        <w:rPr>
          <w:rFonts w:hint="eastAsia" w:ascii="Times New Roman" w:hAnsi="Times New Roman" w:cs="Times New Roman"/>
          <w:sz w:val="18"/>
          <w:szCs w:val="18"/>
        </w:rPr>
      </w:pPr>
      <w:r>
        <w:rPr>
          <w:rFonts w:hint="eastAsia" w:ascii="Times New Roman" w:hAnsi="Times New Roman" w:cs="Times New Roman"/>
          <w:sz w:val="18"/>
          <w:szCs w:val="18"/>
        </w:rPr>
        <w:t>[22] Ma Y, Lin H, Wang P, et al. A miRNA-based gene therapy nanodrug synergistically enhances pro-inflammatory antitumor immunity against melanoma. Acta Biomater. 155:538-553. doi:10.1016/j.actbio.2022.11.016 https://pubmed.ncbi.nlm.nih.gov/36400349/</w:t>
      </w:r>
    </w:p>
    <w:p w14:paraId="1010E29A">
      <w:pPr>
        <w:pStyle w:val="9"/>
        <w:ind w:left="360" w:hanging="360" w:hangingChars="200"/>
        <w:rPr>
          <w:rFonts w:ascii="Times New Roman" w:hAnsi="Times New Roman" w:cs="Times New Roman"/>
          <w:sz w:val="18"/>
          <w:szCs w:val="18"/>
        </w:rPr>
      </w:pPr>
      <w:r>
        <w:rPr>
          <w:rFonts w:hint="eastAsia" w:ascii="Times New Roman" w:hAnsi="Times New Roman" w:cs="Times New Roman"/>
          <w:sz w:val="18"/>
          <w:szCs w:val="18"/>
        </w:rPr>
        <w:t>[23] Prunas O, Weinberger DM, Pitzer VE, Gazit S, Patalon T. Waning Effectiveness of the BNT162b2 Vaccine Against Infection in Adolescents in Israel. Clin Infect Dis. 2023;76(1):113-118. doi:10.1093/cid/ciac315 https://pubmed.ncbi.nlm.nih.gov/36484301/</w:t>
      </w:r>
    </w:p>
    <w:p w14:paraId="25847776">
      <w:pPr>
        <w:pStyle w:val="9"/>
        <w:ind w:left="360" w:hanging="360" w:hangingChars="200"/>
        <w:rPr>
          <w:rFonts w:ascii="Times New Roman" w:hAnsi="Times New Roman" w:cs="Times New Roman"/>
          <w:sz w:val="18"/>
          <w:szCs w:val="18"/>
        </w:rPr>
      </w:pPr>
    </w:p>
    <w:p w14:paraId="673A5112">
      <w:pPr>
        <w:ind w:left="200" w:hanging="200"/>
        <w:rPr>
          <w:rFonts w:ascii="Times New Roman" w:hAnsi="Times New Roman" w:eastAsia="宋体"/>
          <w:sz w:val="20"/>
          <w:szCs w:val="20"/>
        </w:rPr>
      </w:pPr>
    </w:p>
    <w:p w14:paraId="2E33850E"/>
    <w:sectPr>
      <w:type w:val="continuous"/>
      <w:pgSz w:w="11906" w:h="16838"/>
      <w:pgMar w:top="1440" w:right="1800" w:bottom="1440" w:left="180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893770774"/>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14:paraId="430DDFDB">
            <w:pPr>
              <w:pStyle w:val="2"/>
              <w:jc w:val="center"/>
              <w:rPr>
                <w:rFonts w:ascii="Times New Roman" w:hAnsi="Times New Roman" w:cs="Times New Roman"/>
              </w:rPr>
            </w:pPr>
            <w:r>
              <w:rPr>
                <w:rFonts w:ascii="Times New Roman" w:hAnsi="Times New Roman" w:cs="Times New Roman"/>
                <w:lang w:val="zh-CN"/>
              </w:rPr>
              <w:t xml:space="preserve"> </w:t>
            </w:r>
          </w:p>
        </w:sdtContent>
      </w:sdt>
    </w:sdtContent>
  </w:sdt>
  <w:p w14:paraId="0651B7D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47C56">
    <w:pPr>
      <w:pStyle w:val="3"/>
      <w:tabs>
        <w:tab w:val="left" w:pos="5387"/>
      </w:tabs>
      <w:ind w:left="-1558" w:leftChars="-742"/>
      <w:jc w:val="left"/>
      <w:rPr>
        <w:b/>
        <w:bCs/>
        <w:sz w:val="20"/>
        <w:szCs w:val="20"/>
      </w:rPr>
    </w:pPr>
    <w:r>
      <w:rPr>
        <w:b/>
        <w:bCs/>
        <w:sz w:val="20"/>
        <w:szCs w:val="20"/>
      </w:rPr>
      <w:t>Shikang Deng, Li Zhang, Yun Ji, et al. Journal of Comprehensive Molecular Science and Genetics. (</w:t>
    </w:r>
    <w:r>
      <w:rPr>
        <w:rFonts w:hint="eastAsia"/>
        <w:b/>
        <w:bCs/>
        <w:sz w:val="20"/>
        <w:szCs w:val="20"/>
      </w:rPr>
      <w:t>1</w:t>
    </w:r>
    <w:r>
      <w:rPr>
        <w:b/>
        <w:bCs/>
        <w:sz w:val="20"/>
        <w:szCs w:val="20"/>
      </w:rPr>
      <w:t xml:space="preserve">) </w:t>
    </w:r>
    <w:r>
      <w:rPr>
        <w:rFonts w:hint="eastAsia"/>
        <w:b/>
        <w:bCs/>
        <w:sz w:val="20"/>
        <w:szCs w:val="20"/>
      </w:rPr>
      <w:t>1</w:t>
    </w:r>
    <w:r>
      <w:rPr>
        <w:b/>
        <w:bCs/>
        <w:sz w:val="20"/>
        <w:szCs w:val="20"/>
      </w:rPr>
      <w:t>: 2-14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E72E">
    <w:pPr>
      <w:pStyle w:val="3"/>
      <w:tabs>
        <w:tab w:val="left" w:pos="5387"/>
      </w:tabs>
      <w:ind w:left="-1558" w:leftChars="-742"/>
      <w:jc w:val="left"/>
      <w:rPr>
        <w:b/>
        <w:bCs/>
        <w:sz w:val="20"/>
        <w:szCs w:val="20"/>
      </w:rPr>
    </w:pPr>
    <w:r>
      <w:rPr>
        <w:rFonts w:hint="eastAsia"/>
        <w:b/>
        <w:bCs/>
        <w:sz w:val="20"/>
        <w:szCs w:val="20"/>
      </w:rPr>
      <w:t>Hongchao Zou, Wei Zhu, Zhao Zhang,</w:t>
    </w:r>
    <w:r>
      <w:rPr>
        <w:b/>
        <w:bCs/>
        <w:sz w:val="20"/>
        <w:szCs w:val="20"/>
      </w:rPr>
      <w:t xml:space="preserve"> et al. Journal of Comprehensive Molecular Science and Genetics. (</w:t>
    </w:r>
    <w:r>
      <w:rPr>
        <w:rFonts w:hint="eastAsia"/>
        <w:b/>
        <w:bCs/>
        <w:sz w:val="20"/>
        <w:szCs w:val="20"/>
      </w:rPr>
      <w:t>1</w:t>
    </w:r>
    <w:r>
      <w:rPr>
        <w:b/>
        <w:bCs/>
        <w:sz w:val="20"/>
        <w:szCs w:val="20"/>
      </w:rPr>
      <w:t xml:space="preserve">) </w:t>
    </w:r>
    <w:r>
      <w:rPr>
        <w:rFonts w:hint="eastAsia"/>
        <w:b/>
        <w:bCs/>
        <w:sz w:val="20"/>
        <w:szCs w:val="20"/>
      </w:rPr>
      <w:t>1</w:t>
    </w:r>
    <w:r>
      <w:rPr>
        <w:b/>
        <w:bCs/>
        <w:sz w:val="20"/>
        <w:szCs w:val="20"/>
      </w:rPr>
      <w:t>: 2-13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318336367"/>
      <w:docPartObj>
        <w:docPartGallery w:val="AutoText"/>
      </w:docPartObj>
    </w:sdtPr>
    <w:sdtEndPr>
      <w:rPr>
        <w:rFonts w:ascii="Times New Roman" w:hAnsi="Times New Roman" w:cs="Times New Roman"/>
        <w:b/>
        <w:bCs/>
      </w:rPr>
    </w:sdtEndPr>
    <w:sdtContent>
      <w:p w14:paraId="7918BA9D">
        <w:pPr>
          <w:pStyle w:val="3"/>
          <w:jc w:val="right"/>
          <w:rPr>
            <w:rFonts w:ascii="Times New Roman" w:hAnsi="Times New Roman" w:cs="Times New Roman"/>
            <w:b/>
            <w:bCs/>
          </w:rPr>
        </w:pPr>
        <w:r>
          <w:rPr>
            <w:rFonts w:asciiTheme="majorHAnsi" w:hAnsiTheme="majorHAnsi" w:eastAsiaTheme="majorEastAsia" w:cstheme="majorBidi"/>
            <w:sz w:val="28"/>
            <w:szCs w:val="28"/>
            <w:lang w:val="zh-CN"/>
          </w:rPr>
          <w:t xml:space="preserve">~ </w:t>
        </w:r>
        <w:r>
          <w:rPr>
            <w:rFonts w:ascii="Times New Roman" w:hAnsi="Times New Roman" w:cs="Times New Roman"/>
            <w:sz w:val="22"/>
            <w:szCs w:val="22"/>
          </w:rPr>
          <w:fldChar w:fldCharType="begin"/>
        </w:r>
        <w:r>
          <w:rPr>
            <w:rFonts w:ascii="Times New Roman" w:hAnsi="Times New Roman" w:cs="Times New Roman"/>
          </w:rPr>
          <w:instrText xml:space="preserve">PAGE    \* MERGEFORMAT</w:instrText>
        </w:r>
        <w:r>
          <w:rPr>
            <w:rFonts w:ascii="Times New Roman" w:hAnsi="Times New Roman" w:cs="Times New Roman"/>
            <w:sz w:val="22"/>
            <w:szCs w:val="22"/>
          </w:rPr>
          <w:fldChar w:fldCharType="separate"/>
        </w:r>
        <w:r>
          <w:rPr>
            <w:rFonts w:asciiTheme="majorHAnsi" w:hAnsiTheme="majorHAnsi" w:eastAsiaTheme="majorEastAsia" w:cstheme="majorBidi"/>
            <w:sz w:val="28"/>
            <w:szCs w:val="28"/>
            <w:lang w:val="zh-CN"/>
          </w:rPr>
          <w:t>1</w:t>
        </w:r>
        <w:r>
          <w:rPr>
            <w:rFonts w:asciiTheme="majorHAnsi" w:hAnsiTheme="majorHAnsi" w:eastAsiaTheme="majorEastAsia" w:cstheme="majorBidi"/>
            <w:sz w:val="28"/>
            <w:szCs w:val="28"/>
          </w:rPr>
          <w:fldChar w:fldCharType="end"/>
        </w:r>
        <w:r>
          <w:rPr>
            <w:rFonts w:asciiTheme="majorHAnsi" w:hAnsiTheme="majorHAnsi" w:eastAsiaTheme="majorEastAsia" w:cstheme="majorBidi"/>
            <w:sz w:val="28"/>
            <w:szCs w:val="28"/>
            <w:lang w:val="zh-CN"/>
          </w:rPr>
          <w:t xml:space="preserve"> ~</w:t>
        </w:r>
        <w:r>
          <w:rPr>
            <w:rFonts w:ascii="Times New Roman" w:hAnsi="Times New Roman" w:cs="Times New Roman"/>
            <w:b/>
            <w:bCs/>
            <w:lang w:val="zh-CN"/>
          </w:rPr>
          <w:t xml:space="preserve"> </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864128"/>
      <w:docPartObj>
        <w:docPartGallery w:val="AutoText"/>
      </w:docPartObj>
    </w:sdtPr>
    <w:sdtEndPr>
      <w:rPr>
        <w:b/>
        <w:bCs/>
        <w:sz w:val="20"/>
        <w:szCs w:val="20"/>
      </w:rPr>
    </w:sdtEndPr>
    <w:sdtContent>
      <w:p w14:paraId="7B443764">
        <w:pPr>
          <w:pStyle w:val="3"/>
          <w:tabs>
            <w:tab w:val="right" w:pos="8222"/>
            <w:tab w:val="clear" w:pos="8306"/>
          </w:tabs>
          <w:ind w:right="43"/>
          <w:jc w:val="right"/>
          <w:rPr>
            <w:b/>
            <w:bCs/>
            <w:sz w:val="20"/>
            <w:szCs w:val="20"/>
          </w:rPr>
        </w:pPr>
        <w:r>
          <w:rPr>
            <w:b/>
            <w:bCs/>
            <w:sz w:val="20"/>
            <w:szCs w:val="20"/>
          </w:rPr>
          <w:fldChar w:fldCharType="begin"/>
        </w:r>
        <w:r>
          <w:rPr>
            <w:b/>
            <w:bCs/>
            <w:sz w:val="20"/>
            <w:szCs w:val="20"/>
          </w:rPr>
          <w:instrText xml:space="preserve">PAGE   \* MERGEFORMAT</w:instrText>
        </w:r>
        <w:r>
          <w:rPr>
            <w:b/>
            <w:bCs/>
            <w:sz w:val="20"/>
            <w:szCs w:val="20"/>
          </w:rPr>
          <w:fldChar w:fldCharType="separate"/>
        </w:r>
        <w:r>
          <w:rPr>
            <w:b/>
            <w:bCs/>
            <w:sz w:val="20"/>
            <w:szCs w:val="20"/>
            <w:lang w:val="zh-CN"/>
          </w:rPr>
          <w:t>1</w:t>
        </w:r>
        <w:r>
          <w:rPr>
            <w:b/>
            <w:bCs/>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73BE0"/>
    <w:multiLevelType w:val="multilevel"/>
    <w:tmpl w:val="55473BE0"/>
    <w:lvl w:ilvl="0" w:tentative="0">
      <w:start w:val="1"/>
      <w:numFmt w:val="decimal"/>
      <w:lvlText w:val="%1."/>
      <w:lvlJc w:val="left"/>
      <w:pPr>
        <w:ind w:left="785" w:hanging="360"/>
      </w:pPr>
      <w:rPr>
        <w:rFonts w:hint="default" w:ascii="Arial" w:hAnsi="Arial" w:cs="Arial" w:eastAsiaTheme="minorEastAsia"/>
        <w:sz w:val="18"/>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F6E"/>
    <w:rsid w:val="000E73A4"/>
    <w:rsid w:val="001434BD"/>
    <w:rsid w:val="00410368"/>
    <w:rsid w:val="00434B21"/>
    <w:rsid w:val="004807A1"/>
    <w:rsid w:val="005D38FE"/>
    <w:rsid w:val="007A0C3B"/>
    <w:rsid w:val="00842F6E"/>
    <w:rsid w:val="00A74E59"/>
    <w:rsid w:val="00AD5E20"/>
    <w:rsid w:val="00B61715"/>
    <w:rsid w:val="00C8673A"/>
    <w:rsid w:val="00E31461"/>
    <w:rsid w:val="00FD7580"/>
    <w:rsid w:val="00FF0C2D"/>
    <w:rsid w:val="102D695F"/>
    <w:rsid w:val="344949D6"/>
    <w:rsid w:val="400A0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EndNote Bibliography"/>
    <w:basedOn w:val="1"/>
    <w:link w:val="10"/>
    <w:qFormat/>
    <w:uiPriority w:val="0"/>
    <w:rPr>
      <w:rFonts w:ascii="等线" w:hAnsi="等线" w:eastAsia="等线"/>
      <w:sz w:val="20"/>
    </w:rPr>
  </w:style>
  <w:style w:type="character" w:customStyle="1" w:styleId="10">
    <w:name w:val="EndNote Bibliography 字符"/>
    <w:basedOn w:val="5"/>
    <w:link w:val="9"/>
    <w:uiPriority w:val="0"/>
    <w:rPr>
      <w:rFonts w:ascii="等线" w:hAnsi="等线" w:eastAsia="等线"/>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E2DDD-D14C-44CF-AC51-F4AC6703CFFE}">
  <ds:schemaRefs/>
</ds:datastoreItem>
</file>

<file path=docProps/app.xml><?xml version="1.0" encoding="utf-8"?>
<Properties xmlns="http://schemas.openxmlformats.org/officeDocument/2006/extended-properties" xmlns:vt="http://schemas.openxmlformats.org/officeDocument/2006/docPropsVTypes">
  <Template>Normal</Template>
  <Pages>10</Pages>
  <Words>1202</Words>
  <Characters>7260</Characters>
  <Lines>304</Lines>
  <Paragraphs>85</Paragraphs>
  <TotalTime>0</TotalTime>
  <ScaleCrop>false</ScaleCrop>
  <LinksUpToDate>false</LinksUpToDate>
  <CharactersWithSpaces>8438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2021-09-13T02:45:00Z</dcterms:created>
  <dc:creator>NING MEI</dc:creator>
  <cp:lastModifiedBy>开心比烦恼多</cp:lastModifiedBy>
  <cp:lastPrinted>2021-09-16T03:04:00Z</cp:lastPrinted>
  <dcterms:modified xsi:type="dcterms:W3CDTF">2025-11-21T05:42:11Z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eyJoZGlkIjoiNmE4MTYzNWQzNmMwZGMwYmViMTAwZTY1MzM5ZWZhZmQiLCJ1c2VySWQiOiIxMTQ5ODAyMDQwIn0=</vt:lpwstr>
  </property>
  <property fmtid="{D5CDD505-2E9C-101B-9397-08002B2CF9AE}" pid="3" name="KSOProductBuildVer">
    <vt:lpwstr>2052-12.1.0.23542</vt:lpwstr>
  </property>
  <property fmtid="{D5CDD505-2E9C-101B-9397-08002B2CF9AE}" pid="4" name="ICV">
    <vt:lpwstr>F4875AF74B6943E1ABB17CBB997EA666_13</vt:lpwstr>
  </property>
</Properties>
</file>